
<file path=[Content_Types].xml><?xml version="1.0" encoding="utf-8"?>
<Types xmlns="http://schemas.openxmlformats.org/package/2006/content-types">
  <Default Extension="xml" ContentType="application/xml"/>
  <Default Extension="jpeg" ContentType="image/jpeg"/>
  <Default Extension="JPG" ContentType="image/.jp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67.040</w:t>
            </w: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X00</w:t>
            </w:r>
          </w:p>
        </w:tc>
      </w:tr>
    </w:tbl>
    <w:tbl>
      <w:tblPr>
        <w:tblStyle w:val="28"/>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PrEx>
        <w:tc>
          <w:tcPr>
            <w:tcW w:w="6407" w:type="dxa"/>
          </w:tcPr>
          <w:p>
            <w:pPr>
              <w:pStyle w:val="50"/>
              <w:framePr w:w="0" w:hRule="auto" w:wrap="auto" w:vAnchor="margin" w:hAnchor="text" w:xAlign="left" w:yAlign="inline"/>
              <w:rPr>
                <w:rFonts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2" w:name="c1"/>
            <w:r>
              <w:instrText xml:space="preserve"> FORMTEXT </w:instrText>
            </w:r>
            <w:r>
              <w:fldChar w:fldCharType="separate"/>
            </w:r>
            <w:r>
              <w:rPr>
                <w:rFonts w:hint="eastAsia"/>
              </w:rPr>
              <w:t>32</w:t>
            </w:r>
            <w:r>
              <w:fldChar w:fldCharType="end"/>
            </w:r>
            <w:bookmarkEnd w:id="2"/>
          </w:p>
        </w:tc>
      </w:tr>
    </w:tbl>
    <w:p>
      <w:pPr>
        <w:pStyle w:val="51"/>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3"/>
      <w:r>
        <w:rPr>
          <w:rFonts w:hint="eastAsia" w:ascii="黑体" w:hAnsi="黑体" w:eastAsia="黑体"/>
          <w:b w:val="0"/>
          <w:bCs w:val="0"/>
          <w:w w:val="100"/>
          <w:sz w:val="48"/>
          <w:szCs w:val="48"/>
        </w:rPr>
        <w:t>地方标准</w:t>
      </w:r>
    </w:p>
    <w:bookmarkEnd w:id="1"/>
    <w:p>
      <w:pPr>
        <w:pStyle w:val="196"/>
        <w:rPr>
          <w:lang w:val="fr-FR"/>
        </w:rPr>
      </w:pPr>
      <w:r>
        <w:rPr>
          <w:lang w:val="fr-FR"/>
        </w:rPr>
        <w:t>DB</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rFonts w:hint="eastAsia"/>
          <w:lang w:val="fr-FR"/>
        </w:rPr>
        <w:t>32</w:t>
      </w:r>
      <w:r>
        <w:rPr>
          <w:lang w:val="fr-FR"/>
        </w:rPr>
        <w:t>/T</w:t>
      </w:r>
      <w:r>
        <w:fldChar w:fldCharType="end"/>
      </w:r>
      <w:bookmarkEnd w:id="4"/>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pPr>
        <w:pStyle w:val="197"/>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2"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73"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J4NJltgAAAAMAQAADwAAAAAAAAABACAAAAAiAAAA&#10;ZHJzL2Rvd25yZXYueG1sUEsBAhQAFAAAAAgAh07iQJbzJ8zOAQAAawMAAA4AAAAAAAAAAQAgAAAA&#10;JwEAAGRycy9lMm9Eb2MueG1sUEsFBgAAAAAGAAYAWQEAAGcFAAAAAA==&#10;">
                <v:fill on="f" focussize="0,0"/>
                <v:stroke color="#000000" joinstyle="round"/>
                <v:imagedata o:title=""/>
                <o:lock v:ext="edit" aspectratio="f"/>
              </v:line>
            </w:pict>
          </mc:Fallback>
        </mc:AlternateContent>
      </w:r>
    </w:p>
    <w:p>
      <w:pPr>
        <w:pStyle w:val="51"/>
        <w:framePr w:w="9639" w:h="6976" w:hRule="exact" w:hSpace="0" w:vSpace="0" w:hAnchor="page" w:y="6408"/>
        <w:jc w:val="center"/>
        <w:rPr>
          <w:rFonts w:ascii="黑体" w:hAnsi="黑体" w:eastAsia="黑体"/>
          <w:b w:val="0"/>
          <w:bCs w:val="0"/>
          <w:w w:val="100"/>
        </w:rPr>
      </w:pPr>
    </w:p>
    <w:p>
      <w:pPr>
        <w:pStyle w:val="198"/>
        <w:framePr w:h="6974" w:hRule="exact" w:x="1419" w:anchorLock="1"/>
      </w:pPr>
      <w:r>
        <w:rPr>
          <w:rFonts w:hint="eastAsia"/>
        </w:rPr>
        <w:t>基于GS</w:t>
      </w:r>
      <w:r>
        <w:t>1标准的</w:t>
      </w:r>
      <w:r>
        <w:rPr>
          <w:rFonts w:hint="eastAsia"/>
        </w:rPr>
        <w:t>食品可追溯控制点及一致性准则</w:t>
      </w:r>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eastAsia="黑体"/>
          <w:szCs w:val="28"/>
        </w:rPr>
        <w:fldChar w:fldCharType="begin">
          <w:ffData>
            <w:enabled/>
            <w:calcOnExit w:val="0"/>
            <w:textInput>
              <w:default w:val="点击此处添加标准名称的英文译名"/>
            </w:textInput>
          </w:ffData>
        </w:fldChar>
      </w:r>
      <w:r>
        <w:rPr>
          <w:rFonts w:eastAsia="黑体"/>
          <w:szCs w:val="28"/>
        </w:rPr>
        <w:instrText xml:space="preserve"> FORMTEXT </w:instrText>
      </w:r>
      <w:r>
        <w:rPr>
          <w:rFonts w:eastAsia="黑体"/>
          <w:szCs w:val="28"/>
        </w:rPr>
        <w:fldChar w:fldCharType="separate"/>
      </w:r>
      <w:r>
        <w:rPr>
          <w:rFonts w:eastAsia="黑体"/>
          <w:szCs w:val="28"/>
        </w:rPr>
        <w:t xml:space="preserve">Food </w:t>
      </w:r>
      <w:r>
        <w:rPr>
          <w:rFonts w:hint="eastAsia" w:eastAsia="黑体"/>
          <w:szCs w:val="28"/>
        </w:rPr>
        <w:t>t</w:t>
      </w:r>
      <w:r>
        <w:rPr>
          <w:rFonts w:eastAsia="黑体"/>
          <w:szCs w:val="28"/>
        </w:rPr>
        <w:t xml:space="preserve">raceability </w:t>
      </w:r>
      <w:r>
        <w:rPr>
          <w:rFonts w:hint="eastAsia" w:eastAsia="黑体"/>
          <w:szCs w:val="28"/>
        </w:rPr>
        <w:t>c</w:t>
      </w:r>
      <w:r>
        <w:rPr>
          <w:rFonts w:eastAsia="黑体"/>
          <w:szCs w:val="28"/>
        </w:rPr>
        <w:t xml:space="preserve">ontrol </w:t>
      </w:r>
      <w:r>
        <w:rPr>
          <w:rFonts w:hint="eastAsia" w:eastAsia="黑体"/>
          <w:szCs w:val="28"/>
        </w:rPr>
        <w:t>p</w:t>
      </w:r>
      <w:r>
        <w:rPr>
          <w:rFonts w:eastAsia="黑体"/>
          <w:szCs w:val="28"/>
        </w:rPr>
        <w:t xml:space="preserve">oints and </w:t>
      </w:r>
      <w:r>
        <w:rPr>
          <w:rFonts w:hint="eastAsia" w:eastAsia="黑体"/>
          <w:szCs w:val="28"/>
        </w:rPr>
        <w:t>c</w:t>
      </w:r>
      <w:r>
        <w:rPr>
          <w:rFonts w:eastAsia="黑体"/>
          <w:szCs w:val="28"/>
        </w:rPr>
        <w:t xml:space="preserve">ompliance </w:t>
      </w:r>
      <w:r>
        <w:rPr>
          <w:rFonts w:hint="eastAsia" w:eastAsia="黑体"/>
          <w:szCs w:val="28"/>
        </w:rPr>
        <w:t>c</w:t>
      </w:r>
      <w:r>
        <w:rPr>
          <w:rFonts w:eastAsia="黑体"/>
          <w:szCs w:val="28"/>
        </w:rPr>
        <w:t>riteria based on GS1 standard</w:t>
      </w:r>
      <w:r>
        <w:rPr>
          <w:rFonts w:eastAsia="黑体"/>
          <w:szCs w:val="28"/>
        </w:rPr>
        <w:fldChar w:fldCharType="end"/>
      </w:r>
      <w:r>
        <w:rPr>
          <w:rFonts w:eastAsia="黑体"/>
          <w:szCs w:val="28"/>
        </w:rPr>
        <w:fldChar w:fldCharType="end"/>
      </w:r>
      <w:bookmarkEnd w:id="8"/>
      <w:r>
        <w:rPr>
          <w:rFonts w:eastAsia="黑体"/>
          <w:szCs w:val="28"/>
        </w:rPr>
        <w:t xml:space="preserve"> </w:t>
      </w:r>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pPr>
        <w:pStyle w:val="126"/>
        <w:framePr w:w="9639" w:h="6974" w:hRule="exact" w:wrap="around" w:vAnchor="page" w:hAnchor="page" w:x="1419" w:y="6408" w:anchorLock="1"/>
        <w:spacing w:before="720" w:beforeLines="300" w:after="72" w:afterLines="30" w:line="240" w:lineRule="auto"/>
        <w:textAlignment w:val="bottom"/>
        <w:rPr>
          <w:b/>
          <w:sz w:val="21"/>
          <w:szCs w:val="28"/>
        </w:rPr>
      </w:pPr>
    </w:p>
    <w:p>
      <w:pPr>
        <w:pStyle w:val="194"/>
        <w:framePr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rPr>
          <w:rFonts w:ascii="黑体"/>
        </w:rPr>
        <w:t>-</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ascii="黑体"/>
        </w:rPr>
        <w:t>-</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pPr>
        <w:pStyle w:val="195"/>
        <w:framePr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pPr>
        <w:pStyle w:val="152"/>
        <w:framePr w:h="584" w:hRule="exact" w:hSpace="181" w:vSpace="181"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17"/>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4" w:type="first"/>
          <w:footerReference r:id="rId6" w:type="first"/>
          <w:headerReference r:id="rId3" w:type="default"/>
          <w:footerReference r:id="rId5"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4"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70.85pt;margin-top:728.6pt;height:0pt;width:481.9pt;mso-position-horizontal-relative:page;mso-position-vertical-relative:page;z-index:251663360;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&#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szHPvXAAAADgEAAA8AAAAAAAAAAQAgAAAAIgAAAGRy&#10;cy9kb3ducmV2LnhtbFBLAQIUABQAAAAIAIdO4kC5dXEkzQEAAGoDAAAOAAAAAAAAAAEAIAAAACYB&#10;AABkcnMvZTJvRG9jLnhtbFBLBQYAAAAABgAGAFkBAABlBQAAAAA=&#10;">
                <v:fill on="f" focussize="0,0"/>
                <v:stroke color="#000000" joinstyle="round"/>
                <v:imagedata o:title=""/>
                <o:lock v:ext="edit" aspectratio="f"/>
                <w10:anchorlock/>
              </v:line>
            </w:pict>
          </mc:Fallback>
        </mc:AlternateContent>
      </w:r>
    </w:p>
    <w:p>
      <w:pPr>
        <w:pStyle w:val="92"/>
        <w:spacing w:after="468"/>
      </w:pPr>
      <w:bookmarkStart w:id="18" w:name="BookMark1"/>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rPr>
      </w:pPr>
      <w:r>
        <w:fldChar w:fldCharType="begin"/>
      </w:r>
      <w:r>
        <w:rPr>
          <w:rFonts w:hint="eastAsia"/>
        </w:rPr>
        <w:instrText xml:space="preserve">TOC \o "1-1" \h \t "标准文件_一级条标题,2,标准文件_附录一级条标题,2,"</w:instrText>
      </w:r>
      <w:r>
        <w:fldChar w:fldCharType="separate"/>
      </w:r>
      <w:r>
        <w:fldChar w:fldCharType="begin"/>
      </w:r>
      <w:r>
        <w:instrText xml:space="preserve"> HYPERLINK \l "_Toc181103661" </w:instrText>
      </w:r>
      <w:r>
        <w:fldChar w:fldCharType="separate"/>
      </w:r>
      <w:r>
        <w:rPr>
          <w:rStyle w:val="33"/>
          <w:rFonts w:hint="eastAsia"/>
          <w:spacing w:val="320"/>
        </w:rPr>
        <w:t>前</w:t>
      </w:r>
      <w:r>
        <w:rPr>
          <w:rStyle w:val="33"/>
          <w:rFonts w:hint="eastAsia"/>
        </w:rPr>
        <w:t>言</w:t>
      </w:r>
      <w:r>
        <w:tab/>
      </w:r>
      <w:r>
        <w:fldChar w:fldCharType="begin"/>
      </w:r>
      <w:r>
        <w:instrText xml:space="preserve"> PAGEREF _Toc181103661 \h </w:instrText>
      </w:r>
      <w:r>
        <w:fldChar w:fldCharType="separate"/>
      </w:r>
      <w:r>
        <w:t>II</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"_Toc181103662" </w:instrText>
      </w:r>
      <w:r>
        <w:fldChar w:fldCharType="separate"/>
      </w:r>
      <w:r>
        <w:rPr>
          <w:rStyle w:val="33"/>
        </w:rPr>
        <w:t>1</w:t>
      </w:r>
      <w:r>
        <w:rPr>
          <w:rStyle w:val="33"/>
          <w:rFonts w:hint="eastAsia"/>
        </w:rPr>
        <w:t xml:space="preserve"> 范围</w:t>
      </w:r>
      <w:r>
        <w:tab/>
      </w:r>
      <w:r>
        <w:fldChar w:fldCharType="begin"/>
      </w:r>
      <w:r>
        <w:instrText xml:space="preserve"> PAGEREF _Toc181103662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"_Toc181103663" </w:instrText>
      </w:r>
      <w:r>
        <w:fldChar w:fldCharType="separate"/>
      </w:r>
      <w:r>
        <w:rPr>
          <w:rStyle w:val="33"/>
        </w:rPr>
        <w:t>2</w:t>
      </w:r>
      <w:r>
        <w:rPr>
          <w:rStyle w:val="33"/>
          <w:rFonts w:hint="eastAsia"/>
        </w:rPr>
        <w:t xml:space="preserve"> 规范性引用文件</w:t>
      </w:r>
      <w:r>
        <w:tab/>
      </w:r>
      <w:r>
        <w:fldChar w:fldCharType="begin"/>
      </w:r>
      <w:r>
        <w:instrText xml:space="preserve"> PAGEREF _Toc181103663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"_Toc181103664" </w:instrText>
      </w:r>
      <w:r>
        <w:fldChar w:fldCharType="separate"/>
      </w:r>
      <w:r>
        <w:rPr>
          <w:rStyle w:val="33"/>
        </w:rPr>
        <w:t>3</w:t>
      </w:r>
      <w:r>
        <w:rPr>
          <w:rStyle w:val="33"/>
          <w:rFonts w:hint="eastAsia"/>
        </w:rPr>
        <w:t xml:space="preserve"> 术语和定义</w:t>
      </w:r>
      <w:r>
        <w:tab/>
      </w:r>
      <w:r>
        <w:fldChar w:fldCharType="begin"/>
      </w:r>
      <w:r>
        <w:instrText xml:space="preserve"> PAGEREF _Toc181103664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"_Toc181103665" </w:instrText>
      </w:r>
      <w:r>
        <w:fldChar w:fldCharType="separate"/>
      </w:r>
      <w:r>
        <w:rPr>
          <w:rStyle w:val="33"/>
        </w:rPr>
        <w:t>4</w:t>
      </w:r>
      <w:r>
        <w:rPr>
          <w:rStyle w:val="33"/>
          <w:rFonts w:hint="eastAsia"/>
        </w:rPr>
        <w:t xml:space="preserve"> 缩略语</w:t>
      </w:r>
      <w:r>
        <w:tab/>
      </w:r>
      <w:r>
        <w:fldChar w:fldCharType="begin"/>
      </w:r>
      <w:r>
        <w:instrText xml:space="preserve"> PAGEREF _Toc181103665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"_Toc181103666" </w:instrText>
      </w:r>
      <w:r>
        <w:fldChar w:fldCharType="separate"/>
      </w:r>
      <w:r>
        <w:rPr>
          <w:rStyle w:val="33"/>
        </w:rPr>
        <w:t>5</w:t>
      </w:r>
      <w:r>
        <w:rPr>
          <w:rStyle w:val="33"/>
          <w:rFonts w:hint="eastAsia"/>
        </w:rPr>
        <w:t xml:space="preserve"> 一致性适用级别及条件</w:t>
      </w:r>
      <w:r>
        <w:tab/>
      </w:r>
      <w:r>
        <w:fldChar w:fldCharType="begin"/>
      </w:r>
      <w:r>
        <w:instrText xml:space="preserve"> PAGEREF _Toc181103666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"_Toc181103669" </w:instrText>
      </w:r>
      <w:r>
        <w:fldChar w:fldCharType="separate"/>
      </w:r>
      <w:r>
        <w:rPr>
          <w:rStyle w:val="33"/>
        </w:rPr>
        <w:t>6</w:t>
      </w:r>
      <w:r>
        <w:rPr>
          <w:rStyle w:val="33"/>
          <w:rFonts w:hint="eastAsia"/>
        </w:rPr>
        <w:t xml:space="preserve"> 控制点及一致性准则清单</w:t>
      </w:r>
      <w:r>
        <w:tab/>
      </w:r>
      <w:r>
        <w:fldChar w:fldCharType="begin"/>
      </w:r>
      <w:r>
        <w:instrText xml:space="preserve"> PAGEREF _Toc181103669 \h </w:instrText>
      </w:r>
      <w:r>
        <w:fldChar w:fldCharType="separate"/>
      </w:r>
      <w:r>
        <w:t>5</w:t>
      </w:r>
      <w:r>
        <w:fldChar w:fldCharType="end"/>
      </w:r>
      <w:r>
        <w:fldChar w:fldCharType="end"/>
      </w:r>
    </w:p>
    <w:p>
      <w:pPr>
        <w:pStyle w:val="92"/>
        <w:spacing w:after="468"/>
        <w:sectPr>
          <w:headerReference r:id="rId7" w:type="default"/>
          <w:footerReference r:id="rId9" w:type="default"/>
          <w:headerReference r:id="rId8" w:type="even"/>
          <w:foot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8"/>
    <w:p>
      <w:pPr>
        <w:pStyle w:val="90"/>
        <w:spacing w:after="468"/>
      </w:pPr>
      <w:bookmarkStart w:id="19" w:name="_Toc181103661"/>
      <w:bookmarkStart w:id="20" w:name="BookMark2"/>
      <w:r>
        <w:rPr>
          <w:spacing w:val="320"/>
        </w:rPr>
        <w:t>前</w:t>
      </w:r>
      <w:r>
        <w:t>言</w:t>
      </w:r>
      <w:bookmarkEnd w:id="19"/>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本文件由江苏省市场监督管理局提出。</w:t>
      </w:r>
    </w:p>
    <w:p>
      <w:pPr>
        <w:pStyle w:val="57"/>
        <w:ind w:firstLine="420"/>
      </w:pPr>
      <w:r>
        <w:rPr>
          <w:rFonts w:hint="eastAsia"/>
        </w:rPr>
        <w:t>本文件由江苏省射频识别技术标准化技术委员会归口。</w:t>
      </w:r>
    </w:p>
    <w:p>
      <w:pPr>
        <w:pStyle w:val="57"/>
        <w:ind w:firstLine="420"/>
      </w:pPr>
      <w:r>
        <w:rPr>
          <w:rFonts w:hint="eastAsia"/>
        </w:rPr>
        <w:t>本文件起草单位：江苏省质量和标准化研究院、扬州润江生态农业有限公司、江苏省标准化协会、苏果超市有限公司、南京卫岗乳业有限公司、南京数字金融产业研究院、江苏中创供应链服务有限公司、腾讯云计算有限责任公司、江苏橙宝新能源科技有限公司、江苏源头配网络科技发展有限公司、中农康正技术服务有限公司、中国合作贸易企业协会。</w:t>
      </w:r>
    </w:p>
    <w:p>
      <w:pPr>
        <w:pStyle w:val="57"/>
        <w:ind w:firstLine="420"/>
      </w:pPr>
      <w:r>
        <w:rPr>
          <w:rFonts w:hint="eastAsia"/>
        </w:rPr>
        <w:t>本文件主要起草人：刘琰、杨博、单翔宇、章学周、许峰、侯月丽、郭广军、冯雪、胡冶、王瑜、陈莹、田海峰、谢娟、薛波、吴国玉、曹小娟、蒋小强、左波、刘厚鹏、刘松、朱慧玲、于海龙、李嘉成。</w:t>
      </w:r>
    </w:p>
    <w:p>
      <w:pPr>
        <w:pStyle w:val="57"/>
        <w:ind w:firstLine="420"/>
      </w:pPr>
    </w:p>
    <w:p>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cols w:space="425" w:num="1"/>
          <w:formProt w:val="0"/>
          <w:docGrid w:type="lines" w:linePitch="312" w:charSpace="0"/>
        </w:sectPr>
      </w:pPr>
      <w:bookmarkStart w:id="62" w:name="_GoBack"/>
      <w:bookmarkEnd w:id="62"/>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549E6FBCC8554E988329BF9C1E793437"/>
        </w:placeholder>
      </w:sdtPr>
      <w:sdtContent>
        <w:p>
          <w:pPr>
            <w:pStyle w:val="178"/>
          </w:pPr>
          <w:bookmarkStart w:id="22" w:name="NEW_STAND_NAME"/>
          <w:r>
            <w:t>基于GS1标准的</w:t>
          </w:r>
          <w:r>
            <w:rPr>
              <w:rFonts w:hint="eastAsia"/>
            </w:rPr>
            <w:t>食品可追溯控制点及一致性准则</w:t>
          </w:r>
        </w:p>
      </w:sdtContent>
    </w:sdt>
    <w:bookmarkEnd w:id="22"/>
    <w:p>
      <w:pPr>
        <w:pStyle w:val="105"/>
        <w:spacing w:before="312" w:after="312"/>
      </w:pPr>
      <w:bookmarkStart w:id="23" w:name="_Toc26648465"/>
      <w:bookmarkStart w:id="24" w:name="_Toc26986530"/>
      <w:bookmarkStart w:id="25" w:name="_Toc17233325"/>
      <w:bookmarkStart w:id="26" w:name="_Toc97191423"/>
      <w:bookmarkStart w:id="27" w:name="_Toc26718930"/>
      <w:bookmarkStart w:id="28" w:name="_Toc181103662"/>
      <w:bookmarkStart w:id="29" w:name="_Toc24884211"/>
      <w:bookmarkStart w:id="30" w:name="_Toc26986771"/>
      <w:bookmarkStart w:id="31" w:name="_Toc24884218"/>
      <w:bookmarkStart w:id="32" w:name="_Toc17233333"/>
      <w:r>
        <w:rPr>
          <w:rFonts w:hint="eastAsia"/>
        </w:rPr>
        <w:t>范围</w:t>
      </w:r>
      <w:bookmarkEnd w:id="23"/>
      <w:bookmarkEnd w:id="24"/>
      <w:bookmarkEnd w:id="25"/>
      <w:bookmarkEnd w:id="26"/>
      <w:bookmarkEnd w:id="27"/>
      <w:bookmarkEnd w:id="28"/>
      <w:bookmarkEnd w:id="29"/>
      <w:bookmarkEnd w:id="30"/>
      <w:bookmarkEnd w:id="31"/>
      <w:bookmarkEnd w:id="32"/>
    </w:p>
    <w:p>
      <w:pPr>
        <w:pStyle w:val="57"/>
        <w:ind w:firstLine="420"/>
      </w:pPr>
      <w:bookmarkStart w:id="33" w:name="_Toc24884212"/>
      <w:bookmarkStart w:id="34" w:name="_Toc26648466"/>
      <w:bookmarkStart w:id="35" w:name="_Toc17233334"/>
      <w:bookmarkStart w:id="36" w:name="_Toc24884219"/>
      <w:bookmarkStart w:id="37" w:name="_Toc17233326"/>
      <w:r>
        <w:rPr>
          <w:rFonts w:hint="eastAsia"/>
        </w:rPr>
        <w:t>本文件规定了基于GS</w:t>
      </w:r>
      <w:r>
        <w:t>1标准的</w:t>
      </w:r>
      <w:r>
        <w:rPr>
          <w:rFonts w:hint="eastAsia"/>
        </w:rPr>
        <w:t>食品可追溯一致性适用级别及条件、控制点及一致性准则清单。</w:t>
      </w:r>
    </w:p>
    <w:p>
      <w:pPr>
        <w:pStyle w:val="57"/>
        <w:ind w:firstLine="420"/>
      </w:pPr>
      <w:r>
        <w:rPr>
          <w:rFonts w:hint="eastAsia"/>
        </w:rPr>
        <w:t>本文件适用于基于GS1标准的食品生产经营者以及为食品供应链提供产品和服务的各类相关组织或单位进行食品可追溯的实施和评价。</w:t>
      </w:r>
    </w:p>
    <w:p>
      <w:pPr>
        <w:pStyle w:val="105"/>
        <w:spacing w:before="312" w:after="312"/>
      </w:pPr>
      <w:bookmarkStart w:id="38" w:name="_Toc181103663"/>
      <w:bookmarkStart w:id="39" w:name="_Toc97191424"/>
      <w:bookmarkStart w:id="40" w:name="_Toc26986531"/>
      <w:bookmarkStart w:id="41" w:name="_Toc26986772"/>
      <w:bookmarkStart w:id="42" w:name="_Toc26718931"/>
      <w:r>
        <w:rPr>
          <w:rFonts w:hint="eastAsia"/>
        </w:rPr>
        <w:t>规范性引用文件</w:t>
      </w:r>
      <w:bookmarkEnd w:id="33"/>
      <w:bookmarkEnd w:id="34"/>
      <w:bookmarkEnd w:id="35"/>
      <w:bookmarkEnd w:id="36"/>
      <w:bookmarkEnd w:id="37"/>
      <w:bookmarkEnd w:id="38"/>
      <w:bookmarkEnd w:id="39"/>
      <w:bookmarkEnd w:id="40"/>
      <w:bookmarkEnd w:id="41"/>
      <w:bookmarkEnd w:id="42"/>
    </w:p>
    <w:sdt>
      <w:sdtPr>
        <w:rPr>
          <w:rFonts w:hint="eastAsia"/>
        </w:rPr>
        <w:id w:val="715848253"/>
        <w:placeholder>
          <w:docPart w:val="C0E04D04984F4FB98CAA1D0C1BBFA85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rPr>
          <w:rFonts w:hint="eastAsia"/>
        </w:rPr>
        <w:t>GB/T 18127-2009 商品条码 物流单元编码与条码表示</w:t>
      </w:r>
    </w:p>
    <w:p>
      <w:pPr>
        <w:pStyle w:val="57"/>
        <w:ind w:firstLine="420"/>
      </w:pPr>
      <w:r>
        <w:rPr>
          <w:rFonts w:hint="eastAsia"/>
        </w:rPr>
        <w:t>GB/T 22005-2009 饲料和食品链的可追溯性 体系设计与实施的通用原则和基本要求</w:t>
      </w:r>
    </w:p>
    <w:p>
      <w:pPr>
        <w:pStyle w:val="57"/>
        <w:ind w:firstLine="420"/>
      </w:pPr>
      <w:r>
        <w:rPr>
          <w:rFonts w:hint="eastAsia"/>
        </w:rPr>
        <w:t>GB/Z 25008-2010 饲料和食品链的可追溯性 体系设计与实施指南</w:t>
      </w:r>
    </w:p>
    <w:p>
      <w:pPr>
        <w:pStyle w:val="105"/>
        <w:spacing w:before="312" w:after="312"/>
      </w:pPr>
      <w:bookmarkStart w:id="43" w:name="_Toc97191425"/>
      <w:bookmarkStart w:id="44" w:name="_Toc181103664"/>
      <w:r>
        <w:rPr>
          <w:rFonts w:hint="eastAsia"/>
          <w:szCs w:val="21"/>
        </w:rPr>
        <w:t>术语和定义</w:t>
      </w:r>
      <w:bookmarkEnd w:id="43"/>
      <w:bookmarkEnd w:id="44"/>
    </w:p>
    <w:sdt>
      <w:sdtPr>
        <w:id w:val="-1909835108"/>
        <w:placeholder>
          <w:docPart w:val="BD63DB8A4F6F4A048BD6B202ED10CCA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45" w:name="_Toc26986532"/>
          <w:bookmarkEnd w:id="45"/>
          <w:r>
            <w:rPr>
              <w:rFonts w:hint="eastAsia"/>
            </w:rPr>
            <w:t>GB/T 18127、GB/T 22005、GB/Z 25008界定的以及下列术语和定义适用于本文件。</w:t>
          </w:r>
        </w:p>
      </w:sdtContent>
    </w:sdt>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可追溯性　</w:t>
      </w:r>
      <w:r>
        <w:rPr>
          <w:rFonts w:ascii="黑体" w:hAnsi="黑体" w:eastAsia="黑体"/>
        </w:rPr>
        <w:t>traceability</w:t>
      </w:r>
    </w:p>
    <w:p>
      <w:pPr>
        <w:pStyle w:val="57"/>
        <w:ind w:firstLine="420"/>
      </w:pPr>
      <w:r>
        <w:t>追踪</w:t>
      </w:r>
      <w:r>
        <w:rPr>
          <w:rFonts w:hint="eastAsia"/>
        </w:rPr>
        <w:t>食品在整个生产、加工和分销的特定阶段流动的能力。</w:t>
      </w:r>
    </w:p>
    <w:p>
      <w:pPr>
        <w:pStyle w:val="57"/>
        <w:ind w:firstLine="420"/>
      </w:pPr>
      <w:r>
        <w:rPr>
          <w:rFonts w:hint="eastAsia"/>
        </w:rPr>
        <w:t xml:space="preserve">[来源：GB/T </w:t>
      </w:r>
      <w:r>
        <w:t>22005</w:t>
      </w:r>
      <w:r>
        <w:rPr>
          <w:rFonts w:hint="eastAsia"/>
        </w:rPr>
        <w:t>-2009，定义3.6，有修改]</w:t>
      </w:r>
    </w:p>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一致性</w:t>
      </w:r>
      <w:r>
        <w:rPr>
          <w:rFonts w:ascii="黑体" w:hAnsi="黑体" w:eastAsia="黑体"/>
        </w:rPr>
        <w:t>准则</w:t>
      </w:r>
      <w:r>
        <w:rPr>
          <w:rFonts w:hint="eastAsia" w:ascii="黑体" w:hAnsi="黑体" w:eastAsia="黑体"/>
        </w:rPr>
        <w:t>　</w:t>
      </w:r>
      <w:r>
        <w:rPr>
          <w:rFonts w:ascii="黑体" w:hAnsi="黑体" w:eastAsia="黑体"/>
        </w:rPr>
        <w:t>compliance criteria</w:t>
      </w:r>
    </w:p>
    <w:p>
      <w:pPr>
        <w:pStyle w:val="57"/>
        <w:ind w:firstLine="420"/>
      </w:pPr>
      <w:r>
        <w:t>为进行食品可追溯的实施和审核而设定的关键控制点的符合性标准</w:t>
      </w:r>
      <w:r>
        <w:rPr>
          <w:rFonts w:hint="eastAsia"/>
        </w:rPr>
        <w:t>。</w:t>
      </w:r>
    </w:p>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纠正措施　</w:t>
      </w:r>
      <w:r>
        <w:rPr>
          <w:rFonts w:ascii="黑体" w:hAnsi="黑体" w:eastAsia="黑体"/>
        </w:rPr>
        <w:t>corrective active</w:t>
      </w:r>
    </w:p>
    <w:p>
      <w:pPr>
        <w:pStyle w:val="57"/>
        <w:ind w:firstLine="420"/>
      </w:pPr>
      <w:r>
        <w:t>为了消除造成不符合项的原因或追溯系统中的不理想状况而采取的措施</w:t>
      </w:r>
      <w:r>
        <w:rPr>
          <w:rFonts w:hint="eastAsia"/>
        </w:rPr>
        <w:t>。</w:t>
      </w:r>
    </w:p>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物流单元　</w:t>
      </w:r>
      <w:r>
        <w:rPr>
          <w:rFonts w:ascii="黑体" w:hAnsi="黑体" w:eastAsia="黑体"/>
        </w:rPr>
        <w:t>logistic</w:t>
      </w:r>
      <w:r>
        <w:rPr>
          <w:rFonts w:hint="eastAsia" w:ascii="黑体" w:hAnsi="黑体" w:eastAsia="黑体"/>
        </w:rPr>
        <w:t>s</w:t>
      </w:r>
      <w:r>
        <w:rPr>
          <w:rFonts w:ascii="黑体" w:hAnsi="黑体" w:eastAsia="黑体"/>
        </w:rPr>
        <w:t xml:space="preserve"> unit</w:t>
      </w:r>
      <w:r>
        <w:rPr>
          <w:rFonts w:hint="eastAsia" w:ascii="黑体" w:hAnsi="黑体" w:eastAsia="黑体"/>
        </w:rPr>
        <w:t>s</w:t>
      </w:r>
    </w:p>
    <w:p>
      <w:pPr>
        <w:pStyle w:val="57"/>
        <w:ind w:firstLine="420"/>
      </w:pPr>
      <w:r>
        <w:t>在供应链</w:t>
      </w:r>
      <w:r>
        <w:rPr>
          <w:rFonts w:hint="eastAsia"/>
        </w:rPr>
        <w:t>过程</w:t>
      </w:r>
      <w:r>
        <w:t>中</w:t>
      </w:r>
      <w:r>
        <w:rPr>
          <w:rFonts w:hint="eastAsia"/>
        </w:rPr>
        <w:t>为</w:t>
      </w:r>
      <w:r>
        <w:t>运输</w:t>
      </w:r>
      <w:r>
        <w:rPr>
          <w:rFonts w:hint="eastAsia"/>
        </w:rPr>
        <w:t>、</w:t>
      </w:r>
      <w:r>
        <w:t>仓储</w:t>
      </w:r>
      <w:r>
        <w:rPr>
          <w:rFonts w:hint="eastAsia"/>
        </w:rPr>
        <w:t>、配送等建立的</w:t>
      </w:r>
      <w:r>
        <w:t>包装单元</w:t>
      </w:r>
      <w:r>
        <w:rPr>
          <w:rFonts w:hint="eastAsia"/>
        </w:rPr>
        <w:t>。</w:t>
      </w:r>
    </w:p>
    <w:p>
      <w:pPr>
        <w:pStyle w:val="57"/>
        <w:ind w:firstLine="420"/>
      </w:pPr>
      <w:r>
        <w:rPr>
          <w:rFonts w:hint="eastAsia"/>
        </w:rPr>
        <w:t>[来源：</w:t>
      </w:r>
      <w:r>
        <w:t>GB/T 18127-200</w:t>
      </w:r>
      <w:r>
        <w:rPr>
          <w:rFonts w:hint="eastAsia"/>
        </w:rPr>
        <w:t>9</w:t>
      </w:r>
      <w:r>
        <w:t>，定义3.1</w:t>
      </w:r>
      <w:r>
        <w:rPr>
          <w:rFonts w:hint="eastAsia"/>
        </w:rPr>
        <w:t>]</w:t>
      </w:r>
    </w:p>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主数据　</w:t>
      </w:r>
      <w:r>
        <w:rPr>
          <w:rFonts w:ascii="黑体" w:hAnsi="黑体" w:eastAsia="黑体"/>
        </w:rPr>
        <w:t>master data</w:t>
      </w:r>
    </w:p>
    <w:p>
      <w:pPr>
        <w:pStyle w:val="57"/>
        <w:ind w:firstLine="420"/>
      </w:pPr>
      <w:r>
        <w:t>说明贸易项目、参与方、位置以及食品的信息，在一定时期内相对稳定，不频繁改变，并可被多个商业流程和系统访问或使用</w:t>
      </w:r>
      <w:r>
        <w:rPr>
          <w:rFonts w:hint="eastAsia"/>
        </w:rPr>
        <w:t>。</w:t>
      </w:r>
    </w:p>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追溯单元　trace</w:t>
      </w:r>
      <w:r>
        <w:rPr>
          <w:rFonts w:ascii="黑体" w:hAnsi="黑体" w:eastAsia="黑体"/>
        </w:rPr>
        <w:t>able</w:t>
      </w:r>
      <w:r>
        <w:rPr>
          <w:rFonts w:hint="eastAsia" w:ascii="黑体" w:hAnsi="黑体" w:eastAsia="黑体"/>
        </w:rPr>
        <w:t xml:space="preserve"> </w:t>
      </w:r>
      <w:r>
        <w:rPr>
          <w:rFonts w:ascii="黑体" w:hAnsi="黑体" w:eastAsia="黑体"/>
        </w:rPr>
        <w:t>unit</w:t>
      </w:r>
    </w:p>
    <w:p>
      <w:pPr>
        <w:pStyle w:val="57"/>
        <w:ind w:firstLine="420"/>
      </w:pPr>
      <w:r>
        <w:t>需要对其来源、用途和位置的相关信息进行记录和追溯的单个产品或同一批次产品</w:t>
      </w:r>
      <w:r>
        <w:rPr>
          <w:rFonts w:hint="eastAsia"/>
        </w:rPr>
        <w:t>。</w:t>
      </w:r>
    </w:p>
    <w:p>
      <w:pPr>
        <w:pStyle w:val="180"/>
      </w:pPr>
      <w:r>
        <w:rPr>
          <w:rFonts w:hint="eastAsia"/>
        </w:rPr>
        <w:t>追溯</w:t>
      </w:r>
      <w:r>
        <w:t>包括追踪（Tracking）和溯源（Tracing）两个方面</w:t>
      </w:r>
      <w:r>
        <w:rPr>
          <w:rFonts w:hint="eastAsia"/>
        </w:rPr>
        <w:t>。</w:t>
      </w:r>
    </w:p>
    <w:p>
      <w:pPr>
        <w:pStyle w:val="57"/>
        <w:ind w:firstLine="420"/>
      </w:pPr>
      <w:r>
        <w:rPr>
          <w:rFonts w:hint="eastAsia"/>
        </w:rPr>
        <w:t>[来源：</w:t>
      </w:r>
      <w:r>
        <w:t>GB/Z 25008-2010，定义3.1</w:t>
      </w:r>
      <w:r>
        <w:rPr>
          <w:rFonts w:hint="eastAsia"/>
        </w:rPr>
        <w:t>]</w:t>
      </w:r>
    </w:p>
    <w:p>
      <w:pPr>
        <w:pStyle w:val="105"/>
        <w:spacing w:before="312" w:after="312"/>
      </w:pPr>
      <w:bookmarkStart w:id="46" w:name="_Toc181103665"/>
      <w:r>
        <w:rPr>
          <w:rFonts w:hint="eastAsia"/>
        </w:rPr>
        <w:t>缩略语</w:t>
      </w:r>
      <w:bookmarkEnd w:id="46"/>
    </w:p>
    <w:p>
      <w:pPr>
        <w:pStyle w:val="57"/>
        <w:ind w:firstLine="420"/>
      </w:pPr>
      <w:r>
        <w:t>下列缩略语适用于本文件</w:t>
      </w:r>
      <w:r>
        <w:rPr>
          <w:rFonts w:hint="eastAsia"/>
        </w:rPr>
        <w:t>。</w:t>
      </w:r>
    </w:p>
    <w:p>
      <w:pPr>
        <w:pStyle w:val="57"/>
        <w:ind w:firstLine="420"/>
      </w:pPr>
      <w:r>
        <w:rPr>
          <w:rFonts w:hint="eastAsia"/>
        </w:rPr>
        <w:t>B</w:t>
      </w:r>
      <w:r>
        <w:t>RC</w:t>
      </w:r>
      <w:r>
        <w:rPr>
          <w:rFonts w:hint="eastAsia"/>
        </w:rPr>
        <w:t>：</w:t>
      </w:r>
      <w:r>
        <w:t>英国零售协会（British Retail Consortium）</w:t>
      </w:r>
    </w:p>
    <w:p>
      <w:pPr>
        <w:pStyle w:val="57"/>
        <w:ind w:firstLine="420"/>
      </w:pPr>
      <w:r>
        <w:t>EPC：产品电子代码（Electronic Product Code）</w:t>
      </w:r>
    </w:p>
    <w:p>
      <w:pPr>
        <w:pStyle w:val="57"/>
        <w:ind w:firstLine="420"/>
      </w:pPr>
      <w:r>
        <w:t>HACCP：危害分析与关键控制点（Hazard Analysis and Critical Control Point）</w:t>
      </w:r>
    </w:p>
    <w:p>
      <w:pPr>
        <w:pStyle w:val="57"/>
        <w:ind w:firstLine="420"/>
      </w:pPr>
      <w:r>
        <w:t xml:space="preserve">IFS：国际推荐标准（International Featured Standard） </w:t>
      </w:r>
    </w:p>
    <w:p>
      <w:pPr>
        <w:pStyle w:val="57"/>
        <w:ind w:firstLine="420"/>
      </w:pPr>
      <w:r>
        <w:t>GDSN：全球数据同步网络（Global Data Synchronisation Network）</w:t>
      </w:r>
    </w:p>
    <w:p>
      <w:pPr>
        <w:pStyle w:val="57"/>
        <w:ind w:firstLine="420"/>
      </w:pPr>
      <w:r>
        <w:t>GS1：国际物品编码协会（Global Standard 1）</w:t>
      </w:r>
    </w:p>
    <w:p>
      <w:pPr>
        <w:pStyle w:val="57"/>
        <w:ind w:firstLine="420"/>
      </w:pPr>
      <w:r>
        <w:t>GTC：全球可追溯一致性（Global Traceability Compliance）</w:t>
      </w:r>
    </w:p>
    <w:p>
      <w:pPr>
        <w:pStyle w:val="57"/>
        <w:ind w:firstLine="420"/>
      </w:pPr>
      <w:r>
        <w:t>GTS：全球可追溯性标准（Global Traceability Standard）</w:t>
      </w:r>
    </w:p>
    <w:p>
      <w:pPr>
        <w:pStyle w:val="57"/>
        <w:ind w:firstLine="420"/>
      </w:pPr>
      <w:r>
        <w:t>GTIN：全球贸易项目代码（Global Trade Item Number）</w:t>
      </w:r>
    </w:p>
    <w:p>
      <w:pPr>
        <w:pStyle w:val="57"/>
        <w:ind w:firstLine="420"/>
      </w:pPr>
      <w:r>
        <w:t>GLN：全球位置码（Global Location Number）</w:t>
      </w:r>
    </w:p>
    <w:p>
      <w:pPr>
        <w:pStyle w:val="57"/>
        <w:ind w:firstLine="420"/>
      </w:pPr>
      <w:r>
        <w:t>GRAI：全球可回收资产标识代码（Global Returnable Asset Identifier）</w:t>
      </w:r>
    </w:p>
    <w:p>
      <w:pPr>
        <w:pStyle w:val="57"/>
        <w:ind w:firstLine="420"/>
      </w:pPr>
      <w:r>
        <w:t>GIAI：全球单个资产标识代码（Global Individual Asset Identifier）</w:t>
      </w:r>
    </w:p>
    <w:p>
      <w:pPr>
        <w:pStyle w:val="57"/>
        <w:ind w:firstLine="420"/>
      </w:pPr>
      <w:r>
        <w:t xml:space="preserve">GSIN：全球货运标识代码(Global Shipment Identification Number) </w:t>
      </w:r>
    </w:p>
    <w:p>
      <w:pPr>
        <w:pStyle w:val="57"/>
        <w:ind w:firstLine="420"/>
      </w:pPr>
      <w:r>
        <w:t>GlobalGAP：全球良好农业规范（Global Good Agricultural Practice）</w:t>
      </w:r>
    </w:p>
    <w:p>
      <w:pPr>
        <w:pStyle w:val="57"/>
        <w:ind w:firstLine="420"/>
      </w:pPr>
      <w:r>
        <w:t xml:space="preserve">POS：自动销售系统（Point of Sale） </w:t>
      </w:r>
    </w:p>
    <w:p>
      <w:pPr>
        <w:pStyle w:val="57"/>
        <w:ind w:firstLine="420"/>
      </w:pPr>
      <w:r>
        <w:t xml:space="preserve">RFID：射频识别（Radio Frequency Identification） </w:t>
      </w:r>
    </w:p>
    <w:p>
      <w:pPr>
        <w:pStyle w:val="57"/>
        <w:ind w:firstLine="420"/>
      </w:pPr>
      <w:r>
        <w:t>SGTIN：系列化全球贸易项目代码（Serialised Global Trade Item Number）</w:t>
      </w:r>
    </w:p>
    <w:p>
      <w:pPr>
        <w:pStyle w:val="57"/>
        <w:ind w:firstLine="420"/>
      </w:pPr>
      <w:r>
        <w:t xml:space="preserve">SQF: 食品与安全质量标准(Safe Quality Food) </w:t>
      </w:r>
    </w:p>
    <w:p>
      <w:pPr>
        <w:pStyle w:val="57"/>
        <w:ind w:firstLine="420"/>
      </w:pPr>
      <w:r>
        <w:t>SSCC：系列货运包装箱代码（Serial Shipping Container Code）</w:t>
      </w:r>
    </w:p>
    <w:p>
      <w:pPr>
        <w:pStyle w:val="105"/>
        <w:spacing w:before="312" w:after="312"/>
      </w:pPr>
      <w:bookmarkStart w:id="47" w:name="_Toc181103666"/>
      <w:r>
        <w:rPr>
          <w:rFonts w:hint="eastAsia"/>
        </w:rPr>
        <w:t>一致性适用级别及条件</w:t>
      </w:r>
      <w:bookmarkEnd w:id="47"/>
    </w:p>
    <w:p>
      <w:pPr>
        <w:pStyle w:val="106"/>
        <w:spacing w:before="156" w:after="156"/>
      </w:pPr>
      <w:bookmarkStart w:id="48" w:name="_Toc118275248"/>
      <w:bookmarkStart w:id="49" w:name="_Toc126589129"/>
      <w:bookmarkStart w:id="50" w:name="_Toc121822604"/>
      <w:bookmarkStart w:id="51" w:name="_Toc137809143"/>
      <w:bookmarkStart w:id="52" w:name="_Toc181103667"/>
      <w:r>
        <w:rPr>
          <w:rFonts w:hint="eastAsia"/>
        </w:rPr>
        <w:t>一致性控制点级别</w:t>
      </w:r>
      <w:bookmarkEnd w:id="48"/>
      <w:bookmarkEnd w:id="49"/>
      <w:bookmarkEnd w:id="50"/>
      <w:bookmarkEnd w:id="51"/>
      <w:bookmarkEnd w:id="52"/>
    </w:p>
    <w:p>
      <w:pPr>
        <w:pStyle w:val="57"/>
        <w:ind w:firstLine="420"/>
      </w:pPr>
      <w:r>
        <w:rPr>
          <w:rFonts w:hint="eastAsia"/>
        </w:rPr>
        <w:t>本文件共包含74个控制点，</w:t>
      </w:r>
      <w:r>
        <w:t>对每一个控制点</w:t>
      </w:r>
      <w:r>
        <w:rPr>
          <w:rFonts w:hint="eastAsia"/>
        </w:rPr>
        <w:t>，级别应分为以下4种情况：</w:t>
      </w:r>
    </w:p>
    <w:p>
      <w:pPr>
        <w:pStyle w:val="175"/>
      </w:pPr>
      <w:r>
        <w:rPr>
          <w:rFonts w:hint="eastAsia"/>
        </w:rPr>
        <w:t>必选：企业在运营过程中体现食品可追溯一致性必不可少的重要环节。本文件共有27个“必选”控制点；</w:t>
      </w:r>
    </w:p>
    <w:p>
      <w:pPr>
        <w:pStyle w:val="175"/>
      </w:pPr>
      <w:r>
        <w:rPr>
          <w:rFonts w:hint="eastAsia"/>
        </w:rPr>
        <w:t>有条件必选：在特定适用条件下，企业在运营过程中体现食品可追溯一致性必不可少的重要环节，对于不满足适用条件的企业，这些控制点可以标为“不适用”。本文件共有26个“有条件必选”控制点；</w:t>
      </w:r>
    </w:p>
    <w:p>
      <w:pPr>
        <w:pStyle w:val="175"/>
      </w:pPr>
      <w:r>
        <w:rPr>
          <w:rFonts w:hint="eastAsia"/>
        </w:rPr>
        <w:t>可选：企业在运营过程中体现食品可追溯一致性的重要环节 ，企业可根据实际情况进行选择。本文件共有11个“可选”控制点；</w:t>
      </w:r>
    </w:p>
    <w:p>
      <w:pPr>
        <w:pStyle w:val="175"/>
      </w:pPr>
      <w:r>
        <w:rPr>
          <w:rFonts w:hint="eastAsia"/>
        </w:rPr>
        <w:t>推荐：其它标准、生产质量管理规范或国际追溯指南中提出的可追溯要求，对企业运营过程中食品可追溯一致性有帮助。本文件共有10个“推荐”控制点。</w:t>
      </w:r>
    </w:p>
    <w:p>
      <w:pPr>
        <w:pStyle w:val="57"/>
        <w:ind w:firstLine="420"/>
      </w:pPr>
      <w:r>
        <w:t>针对</w:t>
      </w:r>
      <w:r>
        <w:rPr>
          <w:rFonts w:hint="eastAsia"/>
        </w:rPr>
        <w:t>每个控制点的一致性评价，满足一致性要求的控制点应标为“符合（是）”；不满足一致性要求的控制点应标为“不符合（否）”。</w:t>
      </w:r>
    </w:p>
    <w:p>
      <w:pPr>
        <w:pStyle w:val="106"/>
        <w:spacing w:before="156" w:after="156"/>
      </w:pPr>
      <w:bookmarkStart w:id="53" w:name="_Toc181103668"/>
      <w:bookmarkStart w:id="54" w:name="_Toc137809144"/>
      <w:r>
        <w:rPr>
          <w:rFonts w:hint="eastAsia"/>
        </w:rPr>
        <w:t>一致性控制点适用条件</w:t>
      </w:r>
      <w:bookmarkEnd w:id="53"/>
      <w:bookmarkEnd w:id="54"/>
    </w:p>
    <w:p>
      <w:pPr>
        <w:pStyle w:val="57"/>
        <w:ind w:firstLine="420"/>
      </w:pPr>
      <w:r>
        <w:rPr>
          <w:rFonts w:hint="eastAsia"/>
        </w:rPr>
        <w:t>对每一个控制点，</w:t>
      </w:r>
      <w:r>
        <w:t>适用</w:t>
      </w:r>
      <w:r>
        <w:rPr>
          <w:rFonts w:hint="eastAsia"/>
        </w:rPr>
        <w:t>条件</w:t>
      </w:r>
      <w:r>
        <w:t>分为以下</w:t>
      </w:r>
      <w:r>
        <w:rPr>
          <w:rFonts w:hint="eastAsia"/>
        </w:rPr>
        <w:t>3种情况：</w:t>
      </w:r>
    </w:p>
    <w:p>
      <w:pPr>
        <w:pStyle w:val="175"/>
        <w:numPr>
          <w:ilvl w:val="0"/>
          <w:numId w:val="32"/>
        </w:numPr>
      </w:pPr>
      <w:r>
        <w:rPr>
          <w:rFonts w:hint="eastAsia"/>
        </w:rPr>
        <w:t>适用；</w:t>
      </w:r>
    </w:p>
    <w:p>
      <w:pPr>
        <w:pStyle w:val="175"/>
      </w:pPr>
      <w:r>
        <w:rPr>
          <w:rFonts w:hint="eastAsia"/>
        </w:rPr>
        <w:t>有条件</w:t>
      </w:r>
      <w:r>
        <w:t>适用</w:t>
      </w:r>
      <w:r>
        <w:rPr>
          <w:rFonts w:hint="eastAsia"/>
        </w:rPr>
        <w:t>；</w:t>
      </w:r>
    </w:p>
    <w:p>
      <w:pPr>
        <w:pStyle w:val="175"/>
      </w:pPr>
      <w:r>
        <w:rPr>
          <w:rFonts w:hint="eastAsia"/>
        </w:rPr>
        <w:t>不适用。</w:t>
      </w:r>
    </w:p>
    <w:p>
      <w:pPr>
        <w:pStyle w:val="57"/>
        <w:ind w:firstLine="420"/>
      </w:pPr>
      <w:r>
        <w:t>所有</w:t>
      </w:r>
      <w:r>
        <w:rPr>
          <w:rFonts w:hint="eastAsia"/>
        </w:rPr>
        <w:t>“适用”</w:t>
      </w:r>
      <w:r>
        <w:t>的控制点</w:t>
      </w:r>
      <w:r>
        <w:rPr>
          <w:rFonts w:hint="eastAsia"/>
        </w:rPr>
        <w:t>应</w:t>
      </w:r>
      <w:r>
        <w:t>采用一致性准则。</w:t>
      </w:r>
      <w:r>
        <w:rPr>
          <w:rFonts w:hint="eastAsia"/>
        </w:rPr>
        <w:t>在对“有条件适用”的控制点进行评价时，进行评价活动的工作人</w:t>
      </w:r>
      <w:r>
        <w:t>员</w:t>
      </w:r>
      <w:r>
        <w:rPr>
          <w:rFonts w:hint="eastAsia"/>
        </w:rPr>
        <w:t>应依据适用条件</w:t>
      </w:r>
      <w:r>
        <w:t>确定该控制点是</w:t>
      </w:r>
      <w:r>
        <w:rPr>
          <w:rFonts w:hint="eastAsia"/>
        </w:rPr>
        <w:t>否适用。</w:t>
      </w:r>
    </w:p>
    <w:p>
      <w:pPr>
        <w:pStyle w:val="105"/>
        <w:spacing w:before="312" w:after="312"/>
      </w:pPr>
      <w:bookmarkStart w:id="55" w:name="_Toc181103669"/>
      <w:r>
        <w:rPr>
          <w:rFonts w:hint="eastAsia"/>
        </w:rPr>
        <w:t>控制点及一致性准则清单</w:t>
      </w:r>
      <w:bookmarkEnd w:id="55"/>
    </w:p>
    <w:p>
      <w:pPr>
        <w:pStyle w:val="106"/>
        <w:spacing w:before="156" w:after="156"/>
      </w:pPr>
      <w:bookmarkStart w:id="56" w:name="_Toc181103670"/>
      <w:r>
        <w:rPr>
          <w:rFonts w:hint="eastAsia"/>
        </w:rPr>
        <w:t>概述</w:t>
      </w:r>
      <w:bookmarkEnd w:id="56"/>
    </w:p>
    <w:p>
      <w:pPr>
        <w:pStyle w:val="57"/>
        <w:ind w:firstLine="420"/>
      </w:pPr>
      <w:r>
        <w:t>食品</w:t>
      </w:r>
      <w:r>
        <w:rPr>
          <w:rFonts w:hint="eastAsia"/>
        </w:rPr>
        <w:t>可追溯控制点包含目标、产品定义、</w:t>
      </w:r>
      <w:r>
        <w:t>供应链布局、</w:t>
      </w:r>
      <w:r>
        <w:rPr>
          <w:rFonts w:hint="eastAsia"/>
        </w:rPr>
        <w:t>程序建立、物流、</w:t>
      </w:r>
      <w:r>
        <w:rPr>
          <w:rFonts w:hint="eastAsia"/>
          <w:szCs w:val="18"/>
        </w:rPr>
        <w:t>信息要求、文件要求、结构和职责、培训、</w:t>
      </w:r>
      <w:r>
        <w:rPr>
          <w:szCs w:val="18"/>
        </w:rPr>
        <w:t>供应链协作、监控和</w:t>
      </w:r>
      <w:r>
        <w:t>内部和外部审核</w:t>
      </w:r>
      <w:r>
        <w:rPr>
          <w:rFonts w:hint="eastAsia"/>
        </w:rPr>
        <w:t>12个部分，共7</w:t>
      </w:r>
      <w:r>
        <w:t>4</w:t>
      </w:r>
      <w:r>
        <w:rPr>
          <w:rFonts w:hint="eastAsia"/>
        </w:rPr>
        <w:t>个控制点</w:t>
      </w:r>
      <w:r>
        <w:rPr>
          <w:rFonts w:hint="eastAsia"/>
          <w:lang w:eastAsia="zh-CN"/>
        </w:rPr>
        <w:t>。</w:t>
      </w:r>
      <w:r>
        <w:rPr>
          <w:rFonts w:hint="eastAsia"/>
        </w:rPr>
        <w:t>控制点编号、控制点、一致性准则、级别和适用条件见表1。控制点组成、对应控制点编号及每部分评价内容说明见表</w:t>
      </w:r>
      <w:r>
        <w:t>2</w:t>
      </w:r>
      <w:r>
        <w:rPr>
          <w:rFonts w:hint="eastAsia"/>
        </w:rPr>
        <w:t>。</w:t>
      </w:r>
    </w:p>
    <w:p>
      <w:pPr>
        <w:pStyle w:val="106"/>
        <w:spacing w:before="156" w:after="156"/>
      </w:pPr>
      <w:bookmarkStart w:id="57" w:name="_Toc137809147"/>
      <w:bookmarkStart w:id="58" w:name="_Toc181103671"/>
      <w:r>
        <w:rPr>
          <w:rFonts w:hint="eastAsia"/>
        </w:rPr>
        <w:t>控制点要求</w:t>
      </w:r>
      <w:bookmarkEnd w:id="57"/>
      <w:bookmarkEnd w:id="58"/>
    </w:p>
    <w:p>
      <w:pPr>
        <w:pStyle w:val="113"/>
        <w:spacing w:before="156" w:after="156"/>
      </w:pPr>
      <w:r>
        <w:rPr>
          <w:rFonts w:hint="eastAsia"/>
        </w:rPr>
        <w:t>控制点及一致性准则清单</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003"/>
        <w:gridCol w:w="1842"/>
        <w:gridCol w:w="3402"/>
        <w:gridCol w:w="1252"/>
        <w:gridCol w:w="18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blHeader/>
          <w:jc w:val="center"/>
        </w:trPr>
        <w:tc>
          <w:tcPr>
            <w:tcW w:w="1003" w:type="dxa"/>
            <w:tcBorders>
              <w:top w:val="single" w:color="auto" w:sz="8" w:space="0"/>
              <w:bottom w:val="single" w:color="auto" w:sz="8" w:space="0"/>
            </w:tcBorders>
            <w:shd w:val="clear" w:color="auto" w:fill="auto"/>
            <w:vAlign w:val="center"/>
          </w:tcPr>
          <w:p>
            <w:pPr>
              <w:pStyle w:val="179"/>
              <w:rPr>
                <w:b/>
              </w:rPr>
            </w:pPr>
            <w:r>
              <w:rPr>
                <w:rFonts w:hint="eastAsia"/>
                <w:b/>
              </w:rPr>
              <w:t>编号</w:t>
            </w:r>
          </w:p>
        </w:tc>
        <w:tc>
          <w:tcPr>
            <w:tcW w:w="1842" w:type="dxa"/>
            <w:tcBorders>
              <w:top w:val="single" w:color="auto" w:sz="8" w:space="0"/>
              <w:bottom w:val="single" w:color="auto" w:sz="8" w:space="0"/>
            </w:tcBorders>
            <w:shd w:val="clear" w:color="auto" w:fill="auto"/>
            <w:vAlign w:val="center"/>
          </w:tcPr>
          <w:p>
            <w:pPr>
              <w:pStyle w:val="179"/>
              <w:rPr>
                <w:b/>
              </w:rPr>
            </w:pPr>
            <w:r>
              <w:rPr>
                <w:rFonts w:hint="eastAsia"/>
                <w:b/>
              </w:rPr>
              <w:t>控制点</w:t>
            </w:r>
          </w:p>
        </w:tc>
        <w:tc>
          <w:tcPr>
            <w:tcW w:w="3402" w:type="dxa"/>
            <w:tcBorders>
              <w:top w:val="single" w:color="auto" w:sz="8" w:space="0"/>
              <w:bottom w:val="single" w:color="auto" w:sz="8" w:space="0"/>
            </w:tcBorders>
            <w:shd w:val="clear" w:color="auto" w:fill="auto"/>
            <w:vAlign w:val="center"/>
          </w:tcPr>
          <w:p>
            <w:pPr>
              <w:pStyle w:val="179"/>
              <w:rPr>
                <w:b/>
              </w:rPr>
            </w:pPr>
            <w:r>
              <w:rPr>
                <w:rFonts w:hint="eastAsia"/>
                <w:b/>
              </w:rPr>
              <w:t>一致性准则</w:t>
            </w:r>
          </w:p>
        </w:tc>
        <w:tc>
          <w:tcPr>
            <w:tcW w:w="1252" w:type="dxa"/>
            <w:tcBorders>
              <w:top w:val="single" w:color="auto" w:sz="8" w:space="0"/>
              <w:bottom w:val="single" w:color="auto" w:sz="8" w:space="0"/>
            </w:tcBorders>
            <w:shd w:val="clear" w:color="auto" w:fill="auto"/>
            <w:vAlign w:val="center"/>
          </w:tcPr>
          <w:p>
            <w:pPr>
              <w:pStyle w:val="179"/>
              <w:rPr>
                <w:b/>
              </w:rPr>
            </w:pPr>
            <w:r>
              <w:rPr>
                <w:rFonts w:hint="eastAsia"/>
                <w:b/>
              </w:rPr>
              <w:t>级别</w:t>
            </w:r>
          </w:p>
        </w:tc>
        <w:tc>
          <w:tcPr>
            <w:tcW w:w="1875" w:type="dxa"/>
            <w:tcBorders>
              <w:top w:val="single" w:color="auto" w:sz="8" w:space="0"/>
              <w:bottom w:val="single" w:color="auto" w:sz="8" w:space="0"/>
            </w:tcBorders>
            <w:shd w:val="clear" w:color="auto" w:fill="auto"/>
            <w:vAlign w:val="center"/>
          </w:tcPr>
          <w:p>
            <w:pPr>
              <w:pStyle w:val="179"/>
              <w:rPr>
                <w:b/>
              </w:rPr>
            </w:pPr>
            <w:r>
              <w:rPr>
                <w:rFonts w:hint="eastAsia"/>
                <w:b/>
              </w:rPr>
              <w:t>适用条件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jc w:val="center"/>
        </w:trPr>
        <w:tc>
          <w:tcPr>
            <w:tcW w:w="9374" w:type="dxa"/>
            <w:gridSpan w:val="5"/>
            <w:tcBorders>
              <w:top w:val="single" w:color="auto" w:sz="8" w:space="0"/>
            </w:tcBorders>
            <w:shd w:val="clear" w:color="auto" w:fill="auto"/>
            <w:vAlign w:val="center"/>
          </w:tcPr>
          <w:p>
            <w:pPr>
              <w:pStyle w:val="179"/>
              <w:jc w:val="left"/>
            </w:pPr>
            <w:r>
              <w:rPr>
                <w:rFonts w:hint="eastAsia"/>
              </w:rPr>
              <w:t>　1．目标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003" w:type="dxa"/>
            <w:shd w:val="clear" w:color="auto" w:fill="auto"/>
            <w:vAlign w:val="center"/>
          </w:tcPr>
          <w:p>
            <w:pPr>
              <w:pStyle w:val="179"/>
            </w:pPr>
            <w:r>
              <w:rPr>
                <w:rFonts w:hint="eastAsia"/>
              </w:rPr>
              <w:t>1</w:t>
            </w:r>
            <w:r>
              <w:t>.1</w:t>
            </w:r>
          </w:p>
        </w:tc>
        <w:tc>
          <w:tcPr>
            <w:tcW w:w="1842" w:type="dxa"/>
            <w:shd w:val="clear" w:color="auto" w:fill="auto"/>
            <w:vAlign w:val="center"/>
          </w:tcPr>
          <w:p>
            <w:pPr>
              <w:pStyle w:val="179"/>
              <w:jc w:val="left"/>
            </w:pPr>
            <w:r>
              <w:rPr>
                <w:rFonts w:hint="eastAsia"/>
                <w:szCs w:val="18"/>
              </w:rPr>
              <w:t>　</w:t>
            </w:r>
            <w:r>
              <w:rPr>
                <w:rFonts w:hint="eastAsia"/>
              </w:rPr>
              <w:t>是否了解其贸易项目目的地、配送地、出口国和销售地的追溯法规、标准和实施指南</w:t>
            </w:r>
          </w:p>
        </w:tc>
        <w:tc>
          <w:tcPr>
            <w:tcW w:w="3402" w:type="dxa"/>
            <w:shd w:val="clear" w:color="auto" w:fill="auto"/>
            <w:vAlign w:val="center"/>
          </w:tcPr>
          <w:p>
            <w:pPr>
              <w:pStyle w:val="179"/>
              <w:jc w:val="left"/>
            </w:pPr>
            <w:r>
              <w:rPr>
                <w:rFonts w:hint="eastAsia"/>
                <w:szCs w:val="18"/>
              </w:rPr>
              <w:t>　</w:t>
            </w:r>
            <w:r>
              <w:rPr>
                <w:rFonts w:hint="eastAsia"/>
              </w:rPr>
              <w:t>管理者和责任人应了解贸易项目目的地、配送地、出口国和销售地最新的追溯法规、标准和实施指南</w:t>
            </w:r>
          </w:p>
        </w:tc>
        <w:tc>
          <w:tcPr>
            <w:tcW w:w="1252" w:type="dxa"/>
            <w:shd w:val="clear" w:color="auto" w:fill="auto"/>
            <w:vAlign w:val="center"/>
          </w:tcPr>
          <w:p>
            <w:pPr>
              <w:pStyle w:val="179"/>
            </w:pPr>
            <w:r>
              <w:rPr>
                <w:rFonts w:hint="eastAsia"/>
              </w:rPr>
              <w:t>推荐</w:t>
            </w:r>
          </w:p>
        </w:tc>
        <w:tc>
          <w:tcPr>
            <w:tcW w:w="1875" w:type="dxa"/>
            <w:shd w:val="clear" w:color="auto" w:fill="auto"/>
            <w:vAlign w:val="center"/>
          </w:tcPr>
          <w:p>
            <w:pPr>
              <w:pStyle w:val="179"/>
              <w:jc w:val="left"/>
            </w:pPr>
            <w:r>
              <w:rPr>
                <w:rFonts w:hint="eastAsia"/>
              </w:rPr>
              <w:t>　</w:t>
            </w:r>
            <w:r>
              <w:rPr>
                <w:rFonts w:hint="eastAsia" w:hAnsi="宋体"/>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003" w:type="dxa"/>
            <w:shd w:val="clear" w:color="auto" w:fill="auto"/>
            <w:vAlign w:val="center"/>
          </w:tcPr>
          <w:p>
            <w:pPr>
              <w:pStyle w:val="179"/>
              <w:spacing w:before="60" w:after="120"/>
            </w:pPr>
            <w:r>
              <w:rPr>
                <w:rFonts w:hint="eastAsia"/>
              </w:rPr>
              <w:t>1</w:t>
            </w:r>
            <w:r>
              <w:t>.2</w:t>
            </w:r>
          </w:p>
        </w:tc>
        <w:tc>
          <w:tcPr>
            <w:tcW w:w="1842" w:type="dxa"/>
            <w:shd w:val="clear" w:color="auto" w:fill="auto"/>
            <w:vAlign w:val="center"/>
          </w:tcPr>
          <w:p>
            <w:pPr>
              <w:pStyle w:val="179"/>
              <w:jc w:val="left"/>
            </w:pPr>
            <w:r>
              <w:rPr>
                <w:rFonts w:hint="eastAsia"/>
                <w:szCs w:val="18"/>
              </w:rPr>
              <w:t>　</w:t>
            </w:r>
            <w:r>
              <w:rPr>
                <w:rFonts w:hint="eastAsia"/>
              </w:rPr>
              <w:t>是否了解其所有客户的追溯要求</w:t>
            </w:r>
          </w:p>
        </w:tc>
        <w:tc>
          <w:tcPr>
            <w:tcW w:w="3402" w:type="dxa"/>
            <w:shd w:val="clear" w:color="auto" w:fill="auto"/>
            <w:vAlign w:val="center"/>
          </w:tcPr>
          <w:p>
            <w:pPr>
              <w:pStyle w:val="179"/>
              <w:jc w:val="left"/>
            </w:pPr>
            <w:r>
              <w:rPr>
                <w:rFonts w:hint="eastAsia"/>
                <w:szCs w:val="18"/>
              </w:rPr>
              <w:t>　</w:t>
            </w:r>
            <w:r>
              <w:rPr>
                <w:rFonts w:hint="eastAsia"/>
              </w:rPr>
              <w:t>应及时跟进和记录所有客户的追溯要求</w:t>
            </w:r>
          </w:p>
        </w:tc>
        <w:tc>
          <w:tcPr>
            <w:tcW w:w="1252" w:type="dxa"/>
            <w:shd w:val="clear" w:color="auto" w:fill="auto"/>
            <w:vAlign w:val="center"/>
          </w:tcPr>
          <w:p>
            <w:pPr>
              <w:pStyle w:val="179"/>
            </w:pPr>
            <w:r>
              <w:rPr>
                <w:rFonts w:hint="eastAsia"/>
              </w:rPr>
              <w:t>推荐</w:t>
            </w:r>
          </w:p>
        </w:tc>
        <w:tc>
          <w:tcPr>
            <w:tcW w:w="1875" w:type="dxa"/>
            <w:shd w:val="clear" w:color="auto" w:fill="auto"/>
            <w:vAlign w:val="center"/>
          </w:tcPr>
          <w:p>
            <w:pPr>
              <w:pStyle w:val="179"/>
              <w:jc w:val="left"/>
            </w:pPr>
            <w:r>
              <w:rPr>
                <w:rFonts w:hint="eastAsia"/>
              </w:rPr>
              <w:t>　</w:t>
            </w:r>
            <w:r>
              <w:rPr>
                <w:rFonts w:hint="eastAsia" w:hAnsi="宋体"/>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003" w:type="dxa"/>
            <w:shd w:val="clear" w:color="auto" w:fill="auto"/>
            <w:vAlign w:val="center"/>
          </w:tcPr>
          <w:p>
            <w:pPr>
              <w:pStyle w:val="179"/>
            </w:pPr>
            <w:r>
              <w:rPr>
                <w:rFonts w:hint="eastAsia"/>
              </w:rPr>
              <w:t>1</w:t>
            </w:r>
            <w:r>
              <w:t>.3</w:t>
            </w:r>
          </w:p>
        </w:tc>
        <w:tc>
          <w:tcPr>
            <w:tcW w:w="1842" w:type="dxa"/>
            <w:shd w:val="clear" w:color="auto" w:fill="auto"/>
            <w:vAlign w:val="center"/>
          </w:tcPr>
          <w:p>
            <w:pPr>
              <w:pStyle w:val="179"/>
              <w:jc w:val="left"/>
            </w:pPr>
            <w:r>
              <w:rPr>
                <w:rFonts w:hint="eastAsia"/>
                <w:szCs w:val="18"/>
              </w:rPr>
              <w:t>　</w:t>
            </w:r>
            <w:r>
              <w:rPr>
                <w:rFonts w:hint="eastAsia"/>
              </w:rPr>
              <w:t>是否有文件（纸质或电子）明确规定追溯系统的目标、方法和范围，是否指派一名员工负责此项工作</w:t>
            </w:r>
          </w:p>
        </w:tc>
        <w:tc>
          <w:tcPr>
            <w:tcW w:w="3402" w:type="dxa"/>
            <w:shd w:val="clear" w:color="auto" w:fill="auto"/>
            <w:vAlign w:val="center"/>
          </w:tcPr>
          <w:p>
            <w:pPr>
              <w:pStyle w:val="179"/>
              <w:jc w:val="left"/>
              <w:rPr>
                <w:szCs w:val="22"/>
              </w:rPr>
            </w:pPr>
            <w:r>
              <w:rPr>
                <w:rFonts w:hint="eastAsia"/>
                <w:szCs w:val="22"/>
              </w:rPr>
              <w:t>　对于以下方面，应具有合适的文件：</w:t>
            </w:r>
          </w:p>
          <w:p>
            <w:pPr>
              <w:pStyle w:val="175"/>
              <w:numPr>
                <w:ilvl w:val="0"/>
                <w:numId w:val="33"/>
              </w:numPr>
              <w:jc w:val="left"/>
              <w:rPr>
                <w:szCs w:val="18"/>
              </w:rPr>
            </w:pPr>
            <w:r>
              <w:rPr>
                <w:rFonts w:hint="eastAsia"/>
                <w:sz w:val="18"/>
                <w:szCs w:val="18"/>
              </w:rPr>
              <w:t>追溯系统的范围、目标和相关步骤描述，包含但不限于追溯计划；</w:t>
            </w:r>
          </w:p>
          <w:p>
            <w:pPr>
              <w:pStyle w:val="175"/>
              <w:jc w:val="left"/>
              <w:rPr>
                <w:kern w:val="2"/>
                <w:szCs w:val="21"/>
              </w:rPr>
            </w:pPr>
            <w:r>
              <w:rPr>
                <w:rFonts w:hint="eastAsia"/>
                <w:sz w:val="18"/>
                <w:szCs w:val="18"/>
              </w:rPr>
              <w:t>追溯系统管理人员和职责；确定追溯单元的颗粒度</w:t>
            </w:r>
          </w:p>
        </w:tc>
        <w:tc>
          <w:tcPr>
            <w:tcW w:w="1252" w:type="dxa"/>
            <w:shd w:val="clear" w:color="auto" w:fill="auto"/>
            <w:vAlign w:val="center"/>
          </w:tcPr>
          <w:p>
            <w:pPr>
              <w:pStyle w:val="179"/>
            </w:pPr>
            <w:r>
              <w:t>必选</w:t>
            </w:r>
          </w:p>
        </w:tc>
        <w:tc>
          <w:tcPr>
            <w:tcW w:w="1875" w:type="dxa"/>
            <w:shd w:val="clear" w:color="auto" w:fill="auto"/>
            <w:vAlign w:val="center"/>
          </w:tcPr>
          <w:p>
            <w:pPr>
              <w:pStyle w:val="179"/>
              <w:jc w:val="left"/>
            </w:pPr>
            <w:r>
              <w:rPr>
                <w:rFonts w:hint="eastAsia"/>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003" w:type="dxa"/>
            <w:shd w:val="clear" w:color="auto" w:fill="auto"/>
            <w:vAlign w:val="center"/>
          </w:tcPr>
          <w:p>
            <w:pPr>
              <w:pStyle w:val="179"/>
            </w:pPr>
            <w:r>
              <w:rPr>
                <w:rFonts w:hint="eastAsia"/>
              </w:rPr>
              <w:t>1</w:t>
            </w:r>
            <w:r>
              <w:t>.4</w:t>
            </w:r>
          </w:p>
        </w:tc>
        <w:tc>
          <w:tcPr>
            <w:tcW w:w="1842" w:type="dxa"/>
            <w:shd w:val="clear" w:color="auto" w:fill="auto"/>
            <w:vAlign w:val="center"/>
          </w:tcPr>
          <w:p>
            <w:pPr>
              <w:pStyle w:val="179"/>
              <w:jc w:val="left"/>
            </w:pPr>
            <w:r>
              <w:rPr>
                <w:rFonts w:hint="eastAsia"/>
                <w:szCs w:val="18"/>
              </w:rPr>
              <w:t>　</w:t>
            </w:r>
            <w:r>
              <w:rPr>
                <w:rFonts w:hint="eastAsia"/>
              </w:rPr>
              <w:t>管理团队是否了解追溯系统的目标和范围</w:t>
            </w:r>
          </w:p>
        </w:tc>
        <w:tc>
          <w:tcPr>
            <w:tcW w:w="3402" w:type="dxa"/>
            <w:shd w:val="clear" w:color="auto" w:fill="auto"/>
            <w:vAlign w:val="center"/>
          </w:tcPr>
          <w:p>
            <w:pPr>
              <w:pStyle w:val="179"/>
              <w:jc w:val="left"/>
              <w:rPr>
                <w:szCs w:val="22"/>
              </w:rPr>
            </w:pPr>
            <w:r>
              <w:rPr>
                <w:rFonts w:hint="eastAsia"/>
                <w:szCs w:val="22"/>
              </w:rPr>
              <w:t>　对于以下方面，应具有合适的文件：</w:t>
            </w:r>
          </w:p>
          <w:p>
            <w:pPr>
              <w:pStyle w:val="175"/>
              <w:numPr>
                <w:ilvl w:val="0"/>
                <w:numId w:val="34"/>
              </w:numPr>
              <w:jc w:val="left"/>
              <w:rPr>
                <w:szCs w:val="18"/>
              </w:rPr>
            </w:pPr>
            <w:r>
              <w:rPr>
                <w:rFonts w:hint="eastAsia"/>
                <w:sz w:val="18"/>
                <w:szCs w:val="18"/>
              </w:rPr>
              <w:t>管理团队了解其所在单位的追溯系统目标和范围；</w:t>
            </w:r>
          </w:p>
          <w:p>
            <w:pPr>
              <w:pStyle w:val="175"/>
              <w:numPr>
                <w:ilvl w:val="0"/>
                <w:numId w:val="33"/>
              </w:numPr>
              <w:jc w:val="left"/>
              <w:rPr>
                <w:kern w:val="2"/>
                <w:szCs w:val="22"/>
              </w:rPr>
            </w:pPr>
            <w:r>
              <w:rPr>
                <w:rFonts w:hint="eastAsia"/>
                <w:sz w:val="18"/>
                <w:szCs w:val="18"/>
              </w:rPr>
              <w:t>管理团队应签发包含有追溯系统目标和范围的文件</w:t>
            </w:r>
          </w:p>
        </w:tc>
        <w:tc>
          <w:tcPr>
            <w:tcW w:w="1252" w:type="dxa"/>
            <w:shd w:val="clear" w:color="auto" w:fill="auto"/>
            <w:vAlign w:val="center"/>
          </w:tcPr>
          <w:p>
            <w:pPr>
              <w:pStyle w:val="179"/>
            </w:pPr>
            <w:r>
              <w:t>必选</w:t>
            </w:r>
          </w:p>
        </w:tc>
        <w:tc>
          <w:tcPr>
            <w:tcW w:w="1875" w:type="dxa"/>
            <w:shd w:val="clear" w:color="auto" w:fill="auto"/>
            <w:vAlign w:val="center"/>
          </w:tcPr>
          <w:p>
            <w:pPr>
              <w:pStyle w:val="179"/>
              <w:jc w:val="left"/>
            </w:pPr>
            <w:r>
              <w:rPr>
                <w:rFonts w:hint="eastAsia"/>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jc w:val="center"/>
        </w:trPr>
        <w:tc>
          <w:tcPr>
            <w:tcW w:w="9374" w:type="dxa"/>
            <w:gridSpan w:val="5"/>
            <w:shd w:val="clear" w:color="auto" w:fill="auto"/>
            <w:vAlign w:val="center"/>
          </w:tcPr>
          <w:p>
            <w:pPr>
              <w:pStyle w:val="179"/>
              <w:jc w:val="left"/>
            </w:pPr>
            <w:r>
              <w:rPr>
                <w:rFonts w:hint="eastAsia"/>
              </w:rPr>
              <w:t>　2．</w:t>
            </w:r>
            <w:r>
              <w:t>产品定义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1627" w:hRule="atLeast"/>
          <w:jc w:val="center"/>
        </w:trPr>
        <w:tc>
          <w:tcPr>
            <w:tcW w:w="1003" w:type="dxa"/>
            <w:shd w:val="clear" w:color="auto" w:fill="auto"/>
            <w:vAlign w:val="center"/>
          </w:tcPr>
          <w:p>
            <w:pPr>
              <w:pStyle w:val="179"/>
            </w:pPr>
            <w:r>
              <w:rPr>
                <w:rFonts w:hint="eastAsia"/>
              </w:rPr>
              <w:t>2</w:t>
            </w:r>
            <w:r>
              <w:t>.1</w:t>
            </w:r>
          </w:p>
        </w:tc>
        <w:tc>
          <w:tcPr>
            <w:tcW w:w="1842" w:type="dxa"/>
            <w:shd w:val="clear" w:color="auto" w:fill="auto"/>
            <w:vAlign w:val="center"/>
          </w:tcPr>
          <w:p>
            <w:pPr>
              <w:pStyle w:val="179"/>
              <w:jc w:val="left"/>
            </w:pPr>
            <w:r>
              <w:rPr>
                <w:rFonts w:hint="eastAsia"/>
              </w:rPr>
              <w:t>　是否收到的所有贸易项目都采用唯一的标识代码，所有需要追溯的产品层级的描述是否被记录在主数据中</w:t>
            </w:r>
          </w:p>
        </w:tc>
        <w:tc>
          <w:tcPr>
            <w:tcW w:w="3402" w:type="dxa"/>
            <w:shd w:val="clear" w:color="auto" w:fill="auto"/>
            <w:vAlign w:val="center"/>
          </w:tcPr>
          <w:p>
            <w:pPr>
              <w:pStyle w:val="179"/>
              <w:jc w:val="left"/>
            </w:pPr>
            <w:r>
              <w:rPr>
                <w:rFonts w:hint="eastAsia"/>
              </w:rPr>
              <w:t>　收到的、所有需要追溯的贸易项目的唯一标识代码和描述应记录在主数据中。适用于产品的不同层级</w:t>
            </w:r>
          </w:p>
        </w:tc>
        <w:tc>
          <w:tcPr>
            <w:tcW w:w="1252" w:type="dxa"/>
            <w:shd w:val="clear" w:color="auto" w:fill="auto"/>
            <w:vAlign w:val="center"/>
          </w:tcPr>
          <w:p>
            <w:pPr>
              <w:pStyle w:val="179"/>
            </w:pPr>
            <w:r>
              <w:rPr>
                <w:rFonts w:hint="eastAsia"/>
              </w:rPr>
              <w:t>有条件</w:t>
            </w:r>
            <w:r>
              <w:t>必选</w:t>
            </w:r>
          </w:p>
        </w:tc>
        <w:tc>
          <w:tcPr>
            <w:tcW w:w="1875" w:type="dxa"/>
            <w:shd w:val="clear" w:color="auto" w:fill="auto"/>
            <w:vAlign w:val="center"/>
          </w:tcPr>
          <w:p>
            <w:pPr>
              <w:pStyle w:val="179"/>
              <w:jc w:val="left"/>
            </w:pPr>
            <w:r>
              <w:rPr>
                <w:rFonts w:hint="eastAsia"/>
              </w:rPr>
              <w:t>　适用于收到的贸易项目有唯一标识</w:t>
            </w:r>
          </w:p>
        </w:tc>
      </w:tr>
    </w:tbl>
    <w:p>
      <w:pPr>
        <w:pStyle w:val="57"/>
        <w:ind w:firstLine="420"/>
        <w:jc w:val="center"/>
      </w:pPr>
      <w:r>
        <w:rPr>
          <w:rFonts w:hint="eastAsia"/>
        </w:rPr>
        <w:t>表</w:t>
      </w:r>
      <w:r>
        <w:t>1</w:t>
      </w:r>
      <w:r>
        <w:rPr>
          <w:rFonts w:hint="eastAsia"/>
        </w:rPr>
        <w:t xml:space="preserve"> 控制点及一致性准则清单（续）</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003"/>
        <w:gridCol w:w="1842"/>
        <w:gridCol w:w="3402"/>
        <w:gridCol w:w="1252"/>
        <w:gridCol w:w="18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rPr>
                <w:b/>
              </w:rPr>
            </w:pPr>
            <w:r>
              <w:rPr>
                <w:rFonts w:hint="eastAsia"/>
                <w:b/>
              </w:rPr>
              <w:t>编号</w:t>
            </w:r>
          </w:p>
        </w:tc>
        <w:tc>
          <w:tcPr>
            <w:tcW w:w="1842" w:type="dxa"/>
            <w:tcBorders>
              <w:top w:val="single" w:color="auto" w:sz="8" w:space="0"/>
              <w:bottom w:val="single" w:color="auto" w:sz="8" w:space="0"/>
            </w:tcBorders>
            <w:shd w:val="clear" w:color="auto" w:fill="auto"/>
            <w:vAlign w:val="center"/>
          </w:tcPr>
          <w:p>
            <w:pPr>
              <w:pStyle w:val="179"/>
              <w:rPr>
                <w:b/>
              </w:rPr>
            </w:pPr>
            <w:r>
              <w:rPr>
                <w:rFonts w:hint="eastAsia"/>
                <w:b/>
              </w:rPr>
              <w:t>控制点</w:t>
            </w:r>
          </w:p>
        </w:tc>
        <w:tc>
          <w:tcPr>
            <w:tcW w:w="3402" w:type="dxa"/>
            <w:tcBorders>
              <w:top w:val="single" w:color="auto" w:sz="8" w:space="0"/>
              <w:bottom w:val="single" w:color="auto" w:sz="8" w:space="0"/>
            </w:tcBorders>
            <w:shd w:val="clear" w:color="auto" w:fill="auto"/>
            <w:vAlign w:val="center"/>
          </w:tcPr>
          <w:p>
            <w:pPr>
              <w:pStyle w:val="179"/>
              <w:rPr>
                <w:b/>
              </w:rPr>
            </w:pPr>
            <w:r>
              <w:rPr>
                <w:rFonts w:hint="eastAsia"/>
                <w:b/>
              </w:rPr>
              <w:t>一致性准则</w:t>
            </w:r>
          </w:p>
        </w:tc>
        <w:tc>
          <w:tcPr>
            <w:tcW w:w="1252" w:type="dxa"/>
            <w:tcBorders>
              <w:top w:val="single" w:color="auto" w:sz="8" w:space="0"/>
              <w:bottom w:val="single" w:color="auto" w:sz="8" w:space="0"/>
            </w:tcBorders>
            <w:shd w:val="clear" w:color="auto" w:fill="auto"/>
            <w:vAlign w:val="center"/>
          </w:tcPr>
          <w:p>
            <w:pPr>
              <w:pStyle w:val="179"/>
              <w:rPr>
                <w:b/>
              </w:rPr>
            </w:pPr>
            <w:r>
              <w:rPr>
                <w:rFonts w:hint="eastAsia"/>
                <w:b/>
              </w:rPr>
              <w:t>级别</w:t>
            </w:r>
          </w:p>
        </w:tc>
        <w:tc>
          <w:tcPr>
            <w:tcW w:w="1875" w:type="dxa"/>
            <w:tcBorders>
              <w:top w:val="single" w:color="auto" w:sz="8" w:space="0"/>
              <w:bottom w:val="single" w:color="auto" w:sz="8" w:space="0"/>
            </w:tcBorders>
            <w:shd w:val="clear" w:color="auto" w:fill="auto"/>
            <w:vAlign w:val="center"/>
          </w:tcPr>
          <w:p>
            <w:pPr>
              <w:pStyle w:val="179"/>
              <w:rPr>
                <w:b/>
              </w:rPr>
            </w:pPr>
            <w:r>
              <w:rPr>
                <w:rFonts w:hint="eastAsia"/>
                <w:b/>
              </w:rPr>
              <w:t>适用条件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1606"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2</w:t>
            </w:r>
            <w:r>
              <w:t>.2</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是否收到的所有贸易项目都采用</w:t>
            </w:r>
            <w:r>
              <w:t>GTIN</w:t>
            </w:r>
            <w:r>
              <w:rPr>
                <w:rFonts w:hint="eastAsia"/>
              </w:rPr>
              <w:t>标识代码，所有需要追溯的产品层级的描述是否被记录在主数据中</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收到的、所有需要追溯的贸易项目的GTIN和描述应记录在采用GDSN的主数据中。适用于产品的不同层级</w:t>
            </w:r>
          </w:p>
        </w:tc>
        <w:tc>
          <w:tcPr>
            <w:tcW w:w="1252" w:type="dxa"/>
            <w:tcBorders>
              <w:top w:val="single" w:color="auto" w:sz="8" w:space="0"/>
              <w:bottom w:val="single" w:color="auto" w:sz="8" w:space="0"/>
            </w:tcBorders>
            <w:shd w:val="clear" w:color="auto" w:fill="auto"/>
            <w:vAlign w:val="center"/>
          </w:tcPr>
          <w:p>
            <w:pPr>
              <w:pStyle w:val="179"/>
            </w:pPr>
            <w:r>
              <w:rPr>
                <w:rFonts w:hint="eastAsia"/>
              </w:rPr>
              <w:t>可选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rPr>
              <w:t>　适用于收到的贸易项目有明确的G</w:t>
            </w:r>
            <w:r>
              <w:t>TIN</w:t>
            </w:r>
            <w:r>
              <w:rPr>
                <w:rFonts w:hint="eastAsia"/>
              </w:rPr>
              <w:t>标识；非预包装食用农产品可不选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2720"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2</w:t>
            </w:r>
            <w:r>
              <w:t>.3</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对生产或配送的可追溯的成品、半成品是否采用唯一标识代码进行标识和记录</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生产或配送的可追溯的成品、半成品的唯一标识代码和描述应存有文件或记录</w:t>
            </w:r>
          </w:p>
          <w:p>
            <w:pPr>
              <w:pStyle w:val="179"/>
              <w:jc w:val="left"/>
            </w:pPr>
            <w:r>
              <w:rPr>
                <w:rFonts w:hint="eastAsia"/>
              </w:rPr>
              <w:t>　记录文件应包含以下信息：</w:t>
            </w:r>
          </w:p>
          <w:p>
            <w:pPr>
              <w:pStyle w:val="175"/>
              <w:numPr>
                <w:ilvl w:val="0"/>
                <w:numId w:val="35"/>
              </w:numPr>
              <w:rPr>
                <w:sz w:val="18"/>
                <w:szCs w:val="18"/>
              </w:rPr>
            </w:pPr>
            <w:r>
              <w:rPr>
                <w:rFonts w:hint="eastAsia"/>
                <w:sz w:val="18"/>
                <w:szCs w:val="18"/>
              </w:rPr>
              <w:t>唯一标识代码；</w:t>
            </w:r>
          </w:p>
          <w:p>
            <w:pPr>
              <w:pStyle w:val="175"/>
              <w:rPr>
                <w:sz w:val="18"/>
                <w:szCs w:val="18"/>
              </w:rPr>
            </w:pPr>
            <w:r>
              <w:rPr>
                <w:rFonts w:hint="eastAsia"/>
                <w:sz w:val="18"/>
                <w:szCs w:val="18"/>
              </w:rPr>
              <w:t>产品名称；</w:t>
            </w:r>
          </w:p>
          <w:p>
            <w:pPr>
              <w:pStyle w:val="175"/>
              <w:rPr>
                <w:sz w:val="18"/>
                <w:szCs w:val="18"/>
              </w:rPr>
            </w:pPr>
            <w:r>
              <w:rPr>
                <w:rFonts w:hint="eastAsia"/>
                <w:sz w:val="18"/>
                <w:szCs w:val="18"/>
              </w:rPr>
              <w:t>包装规格；</w:t>
            </w:r>
          </w:p>
          <w:p>
            <w:pPr>
              <w:pStyle w:val="175"/>
              <w:rPr>
                <w:sz w:val="18"/>
                <w:szCs w:val="18"/>
              </w:rPr>
            </w:pPr>
            <w:r>
              <w:rPr>
                <w:rFonts w:hint="eastAsia"/>
                <w:sz w:val="18"/>
                <w:szCs w:val="18"/>
              </w:rPr>
              <w:t>贮存条件；</w:t>
            </w:r>
          </w:p>
          <w:p>
            <w:pPr>
              <w:pStyle w:val="175"/>
            </w:pPr>
            <w:r>
              <w:rPr>
                <w:rFonts w:hint="eastAsia"/>
                <w:sz w:val="18"/>
                <w:szCs w:val="18"/>
              </w:rPr>
              <w:t>配送方法</w:t>
            </w:r>
          </w:p>
        </w:tc>
        <w:tc>
          <w:tcPr>
            <w:tcW w:w="1252" w:type="dxa"/>
            <w:tcBorders>
              <w:top w:val="single" w:color="auto" w:sz="8" w:space="0"/>
              <w:bottom w:val="single" w:color="auto" w:sz="8" w:space="0"/>
            </w:tcBorders>
            <w:shd w:val="clear" w:color="auto" w:fill="auto"/>
            <w:vAlign w:val="center"/>
          </w:tcPr>
          <w:p>
            <w:pPr>
              <w:pStyle w:val="179"/>
            </w:pP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rPr>
                <w:highlight w:val="yellow"/>
              </w:rPr>
            </w:pPr>
            <w:r>
              <w:rPr>
                <w:rFonts w:hint="eastAsia"/>
              </w:rPr>
              <w:t>2</w:t>
            </w:r>
            <w:r>
              <w:t>.4</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是否配送的所有贸易项目都采用GTIN标识，所有需要追溯的产品层级的描述是否被记录在主数据中</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配送的、所有需要追溯的贸易项目的GTIN和各产品层级的描述记录在主数据中</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w:t>
            </w: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rPr>
              <w:t>　适用于配送的产品为预包装产品，具有附加标识标签的条件，非预包装食用农产品可不选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2</w:t>
            </w:r>
            <w:r>
              <w:t>.5</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是否在主数据中对需要追溯的所有资产采用GRAI和GIAI编码</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需要追溯的所有资产的GS1标识（GRAI和GIAI）应记录在主数据中</w:t>
            </w:r>
          </w:p>
        </w:tc>
        <w:tc>
          <w:tcPr>
            <w:tcW w:w="1252" w:type="dxa"/>
            <w:tcBorders>
              <w:top w:val="single" w:color="auto" w:sz="8" w:space="0"/>
              <w:bottom w:val="single" w:color="auto" w:sz="8" w:space="0"/>
            </w:tcBorders>
            <w:shd w:val="clear" w:color="auto" w:fill="auto"/>
            <w:vAlign w:val="center"/>
          </w:tcPr>
          <w:p>
            <w:pPr>
              <w:pStyle w:val="179"/>
            </w:pPr>
            <w:r>
              <w:rPr>
                <w:rFonts w:hint="eastAsia"/>
              </w:rPr>
              <w:t>可选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rPr>
              <w:t>　适用于加入G</w:t>
            </w:r>
            <w:r>
              <w:t>S1</w:t>
            </w:r>
            <w:r>
              <w:rPr>
                <w:rFonts w:hint="eastAsia"/>
              </w:rPr>
              <w:t>编码体系的组织或单位，非预包装食用农产品可不选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9374" w:type="dxa"/>
            <w:gridSpan w:val="5"/>
            <w:tcBorders>
              <w:top w:val="single" w:color="auto" w:sz="8" w:space="0"/>
              <w:bottom w:val="single" w:color="auto" w:sz="8" w:space="0"/>
            </w:tcBorders>
            <w:shd w:val="clear" w:color="auto" w:fill="auto"/>
            <w:vAlign w:val="center"/>
          </w:tcPr>
          <w:p>
            <w:pPr>
              <w:pStyle w:val="179"/>
              <w:jc w:val="left"/>
              <w:rPr>
                <w:b/>
              </w:rPr>
            </w:pPr>
            <w:r>
              <w:rPr>
                <w:rFonts w:hint="eastAsia"/>
              </w:rPr>
              <w:t>　3．</w:t>
            </w:r>
            <w:r>
              <w:t>供应链布局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2121"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3</w:t>
            </w:r>
            <w:r>
              <w:t>.1</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是否在主数据中对所有人员分配标识代码，相关说明是否在主数据中记录</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生产和供应链上所涉及的所有人员的标识代码和相关描述应记录在主数据中。描述中应包括但不限于：</w:t>
            </w:r>
          </w:p>
          <w:p>
            <w:pPr>
              <w:pStyle w:val="175"/>
              <w:numPr>
                <w:ilvl w:val="0"/>
                <w:numId w:val="36"/>
              </w:numPr>
              <w:rPr>
                <w:sz w:val="18"/>
                <w:szCs w:val="18"/>
              </w:rPr>
            </w:pPr>
            <w:r>
              <w:rPr>
                <w:rFonts w:hint="eastAsia"/>
                <w:sz w:val="18"/>
                <w:szCs w:val="18"/>
              </w:rPr>
              <w:t>姓名；</w:t>
            </w:r>
          </w:p>
          <w:p>
            <w:pPr>
              <w:pStyle w:val="175"/>
              <w:rPr>
                <w:sz w:val="18"/>
                <w:szCs w:val="18"/>
              </w:rPr>
            </w:pPr>
            <w:r>
              <w:rPr>
                <w:rFonts w:hint="eastAsia"/>
                <w:sz w:val="18"/>
                <w:szCs w:val="18"/>
              </w:rPr>
              <w:t>身份证号；</w:t>
            </w:r>
          </w:p>
          <w:p>
            <w:pPr>
              <w:pStyle w:val="175"/>
            </w:pPr>
            <w:r>
              <w:rPr>
                <w:rFonts w:hint="eastAsia"/>
                <w:sz w:val="18"/>
                <w:szCs w:val="18"/>
              </w:rPr>
              <w:t>职务</w:t>
            </w:r>
          </w:p>
        </w:tc>
        <w:tc>
          <w:tcPr>
            <w:tcW w:w="1252" w:type="dxa"/>
            <w:tcBorders>
              <w:top w:val="single" w:color="auto" w:sz="8" w:space="0"/>
              <w:bottom w:val="single" w:color="auto" w:sz="8" w:space="0"/>
            </w:tcBorders>
            <w:shd w:val="clear" w:color="auto" w:fill="auto"/>
            <w:vAlign w:val="center"/>
          </w:tcPr>
          <w:p>
            <w:pPr>
              <w:pStyle w:val="179"/>
            </w:pPr>
            <w:r>
              <w:rPr>
                <w:rFonts w:hint="eastAsia"/>
              </w:rPr>
              <w:t>推荐</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rPr>
              <w:t>　</w:t>
            </w:r>
            <w:r>
              <w:rPr>
                <w:rFonts w:hint="eastAsia" w:hAnsi="宋体"/>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2963"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3</w:t>
            </w:r>
            <w:r>
              <w:t>.2</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是否在主数据中对所有贸易伙伴分配标识代码，相关说明是否在主数据中记录</w:t>
            </w:r>
          </w:p>
        </w:tc>
        <w:tc>
          <w:tcPr>
            <w:tcW w:w="3402" w:type="dxa"/>
            <w:tcBorders>
              <w:top w:val="single" w:color="auto" w:sz="8" w:space="0"/>
              <w:bottom w:val="single" w:color="auto" w:sz="8" w:space="0"/>
            </w:tcBorders>
            <w:shd w:val="clear" w:color="auto" w:fill="auto"/>
            <w:vAlign w:val="center"/>
          </w:tcPr>
          <w:p>
            <w:pPr>
              <w:pStyle w:val="179"/>
              <w:jc w:val="left"/>
              <w:rPr>
                <w:szCs w:val="18"/>
              </w:rPr>
            </w:pPr>
            <w:r>
              <w:rPr>
                <w:rFonts w:hint="eastAsia"/>
              </w:rPr>
              <w:t>　</w:t>
            </w:r>
            <w:r>
              <w:rPr>
                <w:rFonts w:hint="eastAsia"/>
                <w:szCs w:val="18"/>
              </w:rPr>
              <w:t>生产和供应链上所涉及的所有人员的标识代码和相关描述</w:t>
            </w:r>
            <w:r>
              <w:rPr>
                <w:rFonts w:hint="eastAsia"/>
              </w:rPr>
              <w:t>应</w:t>
            </w:r>
            <w:r>
              <w:rPr>
                <w:rFonts w:hint="eastAsia"/>
                <w:szCs w:val="18"/>
              </w:rPr>
              <w:t>记录在主数据中。描述中</w:t>
            </w:r>
            <w:r>
              <w:rPr>
                <w:rFonts w:hint="eastAsia"/>
              </w:rPr>
              <w:t>应</w:t>
            </w:r>
            <w:r>
              <w:rPr>
                <w:rFonts w:hint="eastAsia"/>
                <w:szCs w:val="18"/>
              </w:rPr>
              <w:t>包括但不限于：</w:t>
            </w:r>
          </w:p>
          <w:p>
            <w:pPr>
              <w:pStyle w:val="175"/>
              <w:numPr>
                <w:ilvl w:val="0"/>
                <w:numId w:val="37"/>
              </w:numPr>
              <w:rPr>
                <w:sz w:val="18"/>
                <w:szCs w:val="18"/>
              </w:rPr>
            </w:pPr>
            <w:r>
              <w:rPr>
                <w:rFonts w:hint="eastAsia"/>
                <w:sz w:val="18"/>
                <w:szCs w:val="18"/>
              </w:rPr>
              <w:t>组织或单位名称</w:t>
            </w:r>
          </w:p>
          <w:p>
            <w:pPr>
              <w:pStyle w:val="175"/>
              <w:rPr>
                <w:sz w:val="18"/>
                <w:szCs w:val="18"/>
              </w:rPr>
            </w:pPr>
            <w:r>
              <w:rPr>
                <w:rFonts w:hint="eastAsia"/>
                <w:sz w:val="18"/>
                <w:szCs w:val="18"/>
              </w:rPr>
              <w:t>地址；</w:t>
            </w:r>
          </w:p>
          <w:p>
            <w:pPr>
              <w:pStyle w:val="175"/>
              <w:rPr>
                <w:sz w:val="18"/>
                <w:szCs w:val="18"/>
              </w:rPr>
            </w:pPr>
            <w:r>
              <w:rPr>
                <w:rFonts w:hint="eastAsia"/>
                <w:sz w:val="18"/>
                <w:szCs w:val="18"/>
              </w:rPr>
              <w:t>联系人；</w:t>
            </w:r>
          </w:p>
          <w:p>
            <w:pPr>
              <w:pStyle w:val="175"/>
              <w:rPr>
                <w:sz w:val="18"/>
                <w:szCs w:val="18"/>
              </w:rPr>
            </w:pPr>
            <w:r>
              <w:rPr>
                <w:rFonts w:hint="eastAsia"/>
                <w:sz w:val="18"/>
                <w:szCs w:val="18"/>
              </w:rPr>
              <w:t>电话号码；</w:t>
            </w:r>
          </w:p>
          <w:p>
            <w:pPr>
              <w:pStyle w:val="175"/>
              <w:rPr>
                <w:sz w:val="18"/>
                <w:szCs w:val="18"/>
              </w:rPr>
            </w:pPr>
            <w:r>
              <w:rPr>
                <w:rFonts w:hint="eastAsia"/>
                <w:sz w:val="18"/>
                <w:szCs w:val="18"/>
              </w:rPr>
              <w:t>传真号；</w:t>
            </w:r>
          </w:p>
          <w:p>
            <w:pPr>
              <w:pStyle w:val="175"/>
            </w:pPr>
            <w:r>
              <w:rPr>
                <w:rFonts w:hint="eastAsia"/>
                <w:sz w:val="18"/>
                <w:szCs w:val="18"/>
              </w:rPr>
              <w:t>电子邮件</w:t>
            </w:r>
          </w:p>
        </w:tc>
        <w:tc>
          <w:tcPr>
            <w:tcW w:w="1252" w:type="dxa"/>
            <w:tcBorders>
              <w:top w:val="single" w:color="auto" w:sz="8" w:space="0"/>
              <w:bottom w:val="single" w:color="auto" w:sz="8" w:space="0"/>
            </w:tcBorders>
            <w:shd w:val="clear" w:color="auto" w:fill="auto"/>
            <w:vAlign w:val="center"/>
          </w:tcPr>
          <w:p>
            <w:pPr>
              <w:pStyle w:val="179"/>
            </w:pP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rPr>
              <w:t>　适用</w:t>
            </w:r>
          </w:p>
        </w:tc>
      </w:tr>
    </w:tbl>
    <w:p>
      <w:pPr>
        <w:pStyle w:val="57"/>
        <w:ind w:firstLine="420"/>
        <w:jc w:val="center"/>
      </w:pPr>
      <w:r>
        <w:rPr>
          <w:rFonts w:hint="eastAsia"/>
        </w:rPr>
        <w:t>表</w:t>
      </w:r>
      <w:r>
        <w:t>1</w:t>
      </w:r>
      <w:r>
        <w:rPr>
          <w:rFonts w:hint="eastAsia"/>
        </w:rPr>
        <w:t xml:space="preserve"> 控制点及一致性准则清单（续）</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003"/>
        <w:gridCol w:w="1842"/>
        <w:gridCol w:w="3402"/>
        <w:gridCol w:w="1252"/>
        <w:gridCol w:w="18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rPr>
                <w:b/>
              </w:rPr>
            </w:pPr>
            <w:r>
              <w:rPr>
                <w:rFonts w:hint="eastAsia"/>
                <w:b/>
              </w:rPr>
              <w:t>编号</w:t>
            </w:r>
          </w:p>
        </w:tc>
        <w:tc>
          <w:tcPr>
            <w:tcW w:w="1842" w:type="dxa"/>
            <w:tcBorders>
              <w:top w:val="single" w:color="auto" w:sz="8" w:space="0"/>
              <w:bottom w:val="single" w:color="auto" w:sz="8" w:space="0"/>
            </w:tcBorders>
            <w:shd w:val="clear" w:color="auto" w:fill="auto"/>
            <w:vAlign w:val="center"/>
          </w:tcPr>
          <w:p>
            <w:pPr>
              <w:pStyle w:val="179"/>
              <w:rPr>
                <w:b/>
              </w:rPr>
            </w:pPr>
            <w:r>
              <w:rPr>
                <w:rFonts w:hint="eastAsia"/>
                <w:b/>
              </w:rPr>
              <w:t>控制点</w:t>
            </w:r>
          </w:p>
        </w:tc>
        <w:tc>
          <w:tcPr>
            <w:tcW w:w="3402" w:type="dxa"/>
            <w:tcBorders>
              <w:top w:val="single" w:color="auto" w:sz="8" w:space="0"/>
              <w:bottom w:val="single" w:color="auto" w:sz="8" w:space="0"/>
            </w:tcBorders>
            <w:shd w:val="clear" w:color="auto" w:fill="auto"/>
            <w:vAlign w:val="center"/>
          </w:tcPr>
          <w:p>
            <w:pPr>
              <w:pStyle w:val="179"/>
              <w:rPr>
                <w:b/>
              </w:rPr>
            </w:pPr>
            <w:r>
              <w:rPr>
                <w:rFonts w:hint="eastAsia"/>
                <w:b/>
              </w:rPr>
              <w:t>一致性准则</w:t>
            </w:r>
          </w:p>
        </w:tc>
        <w:tc>
          <w:tcPr>
            <w:tcW w:w="1252" w:type="dxa"/>
            <w:tcBorders>
              <w:top w:val="single" w:color="auto" w:sz="8" w:space="0"/>
              <w:bottom w:val="single" w:color="auto" w:sz="8" w:space="0"/>
            </w:tcBorders>
            <w:shd w:val="clear" w:color="auto" w:fill="auto"/>
            <w:vAlign w:val="center"/>
          </w:tcPr>
          <w:p>
            <w:pPr>
              <w:pStyle w:val="179"/>
              <w:rPr>
                <w:b/>
              </w:rPr>
            </w:pPr>
            <w:r>
              <w:rPr>
                <w:rFonts w:hint="eastAsia"/>
                <w:b/>
              </w:rPr>
              <w:t>级别</w:t>
            </w:r>
          </w:p>
        </w:tc>
        <w:tc>
          <w:tcPr>
            <w:tcW w:w="1875" w:type="dxa"/>
            <w:tcBorders>
              <w:top w:val="single" w:color="auto" w:sz="8" w:space="0"/>
              <w:bottom w:val="single" w:color="auto" w:sz="8" w:space="0"/>
            </w:tcBorders>
            <w:shd w:val="clear" w:color="auto" w:fill="auto"/>
            <w:vAlign w:val="center"/>
          </w:tcPr>
          <w:p>
            <w:pPr>
              <w:pStyle w:val="179"/>
              <w:rPr>
                <w:b/>
              </w:rPr>
            </w:pPr>
            <w:r>
              <w:rPr>
                <w:rFonts w:hint="eastAsia"/>
                <w:b/>
              </w:rPr>
              <w:t>适用条件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3024"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3</w:t>
            </w:r>
            <w:r>
              <w:t>.3</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是否在主数据中对所有贸易伙伴分配GLN标识，相关说明是否在主数据中记录</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w:t>
            </w:r>
            <w:r>
              <w:rPr>
                <w:rFonts w:hint="eastAsia"/>
                <w:szCs w:val="18"/>
              </w:rPr>
              <w:t>在主数据中对所有贸易伙伴分配G</w:t>
            </w:r>
            <w:r>
              <w:rPr>
                <w:szCs w:val="18"/>
              </w:rPr>
              <w:t>LN</w:t>
            </w:r>
            <w:r>
              <w:rPr>
                <w:rFonts w:hint="eastAsia"/>
                <w:szCs w:val="18"/>
              </w:rPr>
              <w:t>标识，在主数据中记录其相关说明信息。</w:t>
            </w:r>
            <w:r>
              <w:rPr>
                <w:rFonts w:hint="eastAsia"/>
              </w:rPr>
              <w:t>说明中应包括但不限于：</w:t>
            </w:r>
          </w:p>
          <w:p>
            <w:pPr>
              <w:pStyle w:val="175"/>
              <w:numPr>
                <w:ilvl w:val="0"/>
                <w:numId w:val="38"/>
              </w:numPr>
              <w:rPr>
                <w:sz w:val="18"/>
                <w:szCs w:val="18"/>
              </w:rPr>
            </w:pPr>
            <w:r>
              <w:rPr>
                <w:rFonts w:hint="eastAsia"/>
                <w:sz w:val="18"/>
                <w:szCs w:val="18"/>
              </w:rPr>
              <w:t>组织或单位名称；</w:t>
            </w:r>
          </w:p>
          <w:p>
            <w:pPr>
              <w:pStyle w:val="175"/>
              <w:rPr>
                <w:sz w:val="18"/>
                <w:szCs w:val="18"/>
              </w:rPr>
            </w:pPr>
            <w:r>
              <w:rPr>
                <w:rFonts w:hint="eastAsia"/>
                <w:sz w:val="18"/>
                <w:szCs w:val="18"/>
              </w:rPr>
              <w:t>地址；</w:t>
            </w:r>
          </w:p>
          <w:p>
            <w:pPr>
              <w:pStyle w:val="175"/>
              <w:rPr>
                <w:sz w:val="18"/>
                <w:szCs w:val="18"/>
              </w:rPr>
            </w:pPr>
            <w:r>
              <w:rPr>
                <w:rFonts w:hint="eastAsia"/>
                <w:sz w:val="18"/>
                <w:szCs w:val="18"/>
              </w:rPr>
              <w:t>联系人；</w:t>
            </w:r>
          </w:p>
          <w:p>
            <w:pPr>
              <w:pStyle w:val="175"/>
              <w:rPr>
                <w:sz w:val="18"/>
                <w:szCs w:val="18"/>
              </w:rPr>
            </w:pPr>
            <w:r>
              <w:rPr>
                <w:rFonts w:hint="eastAsia"/>
                <w:sz w:val="18"/>
                <w:szCs w:val="18"/>
              </w:rPr>
              <w:t>电话号码；</w:t>
            </w:r>
          </w:p>
          <w:p>
            <w:pPr>
              <w:pStyle w:val="175"/>
              <w:rPr>
                <w:sz w:val="18"/>
                <w:szCs w:val="18"/>
              </w:rPr>
            </w:pPr>
            <w:r>
              <w:rPr>
                <w:rFonts w:hint="eastAsia"/>
                <w:sz w:val="18"/>
                <w:szCs w:val="18"/>
              </w:rPr>
              <w:t>传真号；</w:t>
            </w:r>
          </w:p>
          <w:p>
            <w:pPr>
              <w:pStyle w:val="175"/>
            </w:pPr>
            <w:r>
              <w:rPr>
                <w:rFonts w:hint="eastAsia"/>
                <w:sz w:val="18"/>
                <w:szCs w:val="18"/>
              </w:rPr>
              <w:t>电子邮件</w:t>
            </w:r>
          </w:p>
        </w:tc>
        <w:tc>
          <w:tcPr>
            <w:tcW w:w="1252" w:type="dxa"/>
            <w:tcBorders>
              <w:top w:val="single" w:color="auto" w:sz="8" w:space="0"/>
              <w:bottom w:val="single" w:color="auto" w:sz="8" w:space="0"/>
            </w:tcBorders>
            <w:shd w:val="clear" w:color="auto" w:fill="auto"/>
            <w:vAlign w:val="center"/>
          </w:tcPr>
          <w:p>
            <w:pPr>
              <w:pStyle w:val="179"/>
            </w:pPr>
            <w:r>
              <w:rPr>
                <w:rFonts w:hint="eastAsia"/>
              </w:rPr>
              <w:t>可选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rPr>
              <w:t>　适用于贸易伙伴为加入G</w:t>
            </w:r>
            <w:r>
              <w:t>S1</w:t>
            </w:r>
            <w:r>
              <w:rPr>
                <w:rFonts w:hint="eastAsia"/>
              </w:rPr>
              <w:t>编码体系的组织或单位，非预包装食用农产品可不选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2103"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3</w:t>
            </w:r>
            <w:r>
              <w:t>.4</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是否在主数据中采用标识代码对需要追溯的所有内部位置进行标识，相关说明是否在主数据中记录</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所有需要追溯的本组织或单位的内部位置记录在主数据中（包括但不限于工作场所、生产线、仓库等）采用标识代码标识，在主数据中记录其相关说明信息</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w:t>
            </w: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rPr>
              <w:t>　适用于存在多个内部位置的中大型企业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3590"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3</w:t>
            </w:r>
            <w:r>
              <w:t>.5</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是否在主数据中采用唯一标识代码对需要与贸易伙伴进行合作的内部位置进行标识，相关说明是否在主数据中记录</w:t>
            </w:r>
          </w:p>
        </w:tc>
        <w:tc>
          <w:tcPr>
            <w:tcW w:w="3402" w:type="dxa"/>
            <w:tcBorders>
              <w:top w:val="single" w:color="auto" w:sz="8" w:space="0"/>
              <w:bottom w:val="single" w:color="auto" w:sz="8" w:space="0"/>
            </w:tcBorders>
            <w:shd w:val="clear" w:color="auto" w:fill="auto"/>
            <w:vAlign w:val="center"/>
          </w:tcPr>
          <w:p>
            <w:pPr>
              <w:pStyle w:val="179"/>
              <w:jc w:val="left"/>
              <w:rPr>
                <w:szCs w:val="18"/>
              </w:rPr>
            </w:pPr>
            <w:r>
              <w:rPr>
                <w:rFonts w:hint="eastAsia"/>
              </w:rPr>
              <w:t>　</w:t>
            </w:r>
            <w:r>
              <w:rPr>
                <w:rFonts w:hint="eastAsia"/>
                <w:szCs w:val="18"/>
              </w:rPr>
              <w:t>所有需要与贸易伙伴进行合作的组织或单位内部位置（</w:t>
            </w:r>
            <w:r>
              <w:rPr>
                <w:rFonts w:hint="eastAsia"/>
              </w:rPr>
              <w:t>包括但不限于</w:t>
            </w:r>
            <w:r>
              <w:rPr>
                <w:rFonts w:hint="eastAsia"/>
                <w:szCs w:val="18"/>
              </w:rPr>
              <w:t>配送中心、接收点、配送点、加工厂、农田）的唯一标识代码和相关描述</w:t>
            </w:r>
            <w:r>
              <w:rPr>
                <w:rFonts w:hint="eastAsia"/>
              </w:rPr>
              <w:t>应</w:t>
            </w:r>
            <w:r>
              <w:rPr>
                <w:rFonts w:hint="eastAsia"/>
                <w:szCs w:val="18"/>
              </w:rPr>
              <w:t>记录在主数据中。描述中</w:t>
            </w:r>
            <w:r>
              <w:rPr>
                <w:rFonts w:hint="eastAsia"/>
              </w:rPr>
              <w:t>应</w:t>
            </w:r>
            <w:r>
              <w:rPr>
                <w:rFonts w:hint="eastAsia"/>
                <w:szCs w:val="18"/>
              </w:rPr>
              <w:t>包括但不限于：</w:t>
            </w:r>
          </w:p>
          <w:p>
            <w:pPr>
              <w:pStyle w:val="175"/>
              <w:numPr>
                <w:ilvl w:val="0"/>
                <w:numId w:val="39"/>
              </w:numPr>
              <w:rPr>
                <w:sz w:val="18"/>
                <w:szCs w:val="18"/>
              </w:rPr>
            </w:pPr>
            <w:r>
              <w:rPr>
                <w:rFonts w:hint="eastAsia"/>
                <w:sz w:val="18"/>
                <w:szCs w:val="18"/>
              </w:rPr>
              <w:t>位置名称；</w:t>
            </w:r>
          </w:p>
          <w:p>
            <w:pPr>
              <w:pStyle w:val="175"/>
              <w:rPr>
                <w:sz w:val="18"/>
                <w:szCs w:val="18"/>
              </w:rPr>
            </w:pPr>
            <w:r>
              <w:rPr>
                <w:rFonts w:hint="eastAsia"/>
                <w:sz w:val="18"/>
                <w:szCs w:val="18"/>
              </w:rPr>
              <w:t>地址；</w:t>
            </w:r>
          </w:p>
          <w:p>
            <w:pPr>
              <w:pStyle w:val="175"/>
              <w:rPr>
                <w:sz w:val="18"/>
                <w:szCs w:val="18"/>
              </w:rPr>
            </w:pPr>
            <w:r>
              <w:rPr>
                <w:rFonts w:hint="eastAsia"/>
                <w:sz w:val="18"/>
                <w:szCs w:val="18"/>
              </w:rPr>
              <w:t>电话号码；</w:t>
            </w:r>
          </w:p>
          <w:p>
            <w:pPr>
              <w:pStyle w:val="175"/>
              <w:rPr>
                <w:sz w:val="18"/>
                <w:szCs w:val="18"/>
              </w:rPr>
            </w:pPr>
            <w:r>
              <w:rPr>
                <w:rFonts w:hint="eastAsia"/>
                <w:sz w:val="18"/>
                <w:szCs w:val="18"/>
              </w:rPr>
              <w:t>传真号；</w:t>
            </w:r>
          </w:p>
          <w:p>
            <w:pPr>
              <w:pStyle w:val="175"/>
            </w:pPr>
            <w:r>
              <w:rPr>
                <w:rFonts w:hint="eastAsia"/>
                <w:sz w:val="18"/>
                <w:szCs w:val="18"/>
              </w:rPr>
              <w:t>电子邮件</w:t>
            </w:r>
          </w:p>
        </w:tc>
        <w:tc>
          <w:tcPr>
            <w:tcW w:w="1252" w:type="dxa"/>
            <w:tcBorders>
              <w:top w:val="single" w:color="auto" w:sz="8" w:space="0"/>
              <w:bottom w:val="single" w:color="auto" w:sz="8" w:space="0"/>
            </w:tcBorders>
            <w:shd w:val="clear" w:color="auto" w:fill="auto"/>
            <w:vAlign w:val="center"/>
          </w:tcPr>
          <w:p>
            <w:pPr>
              <w:pStyle w:val="179"/>
            </w:pP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3670"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3</w:t>
            </w:r>
            <w:r>
              <w:t>.6</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是否在主数据中采用GLN对需要与贸易伙伴进行合作的内部位置进行标识，相关说明是否在主数据中记录</w:t>
            </w:r>
          </w:p>
        </w:tc>
        <w:tc>
          <w:tcPr>
            <w:tcW w:w="3402" w:type="dxa"/>
            <w:tcBorders>
              <w:top w:val="single" w:color="auto" w:sz="8" w:space="0"/>
              <w:bottom w:val="single" w:color="auto" w:sz="8" w:space="0"/>
            </w:tcBorders>
            <w:shd w:val="clear" w:color="auto" w:fill="auto"/>
            <w:vAlign w:val="center"/>
          </w:tcPr>
          <w:p>
            <w:pPr>
              <w:pStyle w:val="179"/>
              <w:jc w:val="left"/>
              <w:rPr>
                <w:szCs w:val="18"/>
              </w:rPr>
            </w:pPr>
            <w:r>
              <w:rPr>
                <w:rFonts w:hint="eastAsia"/>
              </w:rPr>
              <w:t>　</w:t>
            </w:r>
            <w:r>
              <w:rPr>
                <w:rFonts w:hint="eastAsia"/>
                <w:szCs w:val="18"/>
              </w:rPr>
              <w:t>所有需要与贸易伙伴进行合作的组织或单位内部位置（</w:t>
            </w:r>
            <w:r>
              <w:rPr>
                <w:rFonts w:hint="eastAsia"/>
              </w:rPr>
              <w:t>包括但不限于</w:t>
            </w:r>
            <w:r>
              <w:rPr>
                <w:rFonts w:hint="eastAsia"/>
                <w:szCs w:val="18"/>
              </w:rPr>
              <w:t>配送中心、接收点、配送点、制造工厂、农田）的GLN标识和相关描述</w:t>
            </w:r>
            <w:r>
              <w:rPr>
                <w:rFonts w:hint="eastAsia"/>
              </w:rPr>
              <w:t>应</w:t>
            </w:r>
            <w:r>
              <w:rPr>
                <w:rFonts w:hint="eastAsia"/>
                <w:szCs w:val="18"/>
              </w:rPr>
              <w:t>在主数据中。描述中</w:t>
            </w:r>
            <w:r>
              <w:rPr>
                <w:rFonts w:hint="eastAsia"/>
              </w:rPr>
              <w:t>应</w:t>
            </w:r>
            <w:r>
              <w:rPr>
                <w:rFonts w:hint="eastAsia"/>
                <w:szCs w:val="18"/>
              </w:rPr>
              <w:t>包括但不限于：</w:t>
            </w:r>
          </w:p>
          <w:p>
            <w:pPr>
              <w:pStyle w:val="175"/>
              <w:numPr>
                <w:ilvl w:val="0"/>
                <w:numId w:val="40"/>
              </w:numPr>
              <w:rPr>
                <w:sz w:val="18"/>
                <w:szCs w:val="18"/>
              </w:rPr>
            </w:pPr>
            <w:r>
              <w:rPr>
                <w:rFonts w:hint="eastAsia"/>
                <w:sz w:val="18"/>
                <w:szCs w:val="18"/>
              </w:rPr>
              <w:t>位置名称；</w:t>
            </w:r>
          </w:p>
          <w:p>
            <w:pPr>
              <w:pStyle w:val="175"/>
              <w:rPr>
                <w:sz w:val="18"/>
                <w:szCs w:val="18"/>
              </w:rPr>
            </w:pPr>
            <w:r>
              <w:rPr>
                <w:rFonts w:hint="eastAsia"/>
                <w:sz w:val="18"/>
                <w:szCs w:val="18"/>
              </w:rPr>
              <w:t>地址；</w:t>
            </w:r>
          </w:p>
          <w:p>
            <w:pPr>
              <w:pStyle w:val="175"/>
              <w:rPr>
                <w:sz w:val="18"/>
                <w:szCs w:val="18"/>
              </w:rPr>
            </w:pPr>
            <w:r>
              <w:rPr>
                <w:rFonts w:hint="eastAsia"/>
                <w:sz w:val="18"/>
                <w:szCs w:val="18"/>
              </w:rPr>
              <w:t>电话号码；</w:t>
            </w:r>
          </w:p>
          <w:p>
            <w:pPr>
              <w:pStyle w:val="175"/>
              <w:rPr>
                <w:sz w:val="18"/>
                <w:szCs w:val="18"/>
              </w:rPr>
            </w:pPr>
            <w:r>
              <w:rPr>
                <w:rFonts w:hint="eastAsia"/>
                <w:sz w:val="18"/>
                <w:szCs w:val="18"/>
              </w:rPr>
              <w:t>传真号；</w:t>
            </w:r>
          </w:p>
          <w:p>
            <w:pPr>
              <w:pStyle w:val="175"/>
            </w:pPr>
            <w:r>
              <w:rPr>
                <w:rFonts w:hint="eastAsia"/>
                <w:sz w:val="18"/>
                <w:szCs w:val="18"/>
              </w:rPr>
              <w:t>电子邮件</w:t>
            </w:r>
          </w:p>
        </w:tc>
        <w:tc>
          <w:tcPr>
            <w:tcW w:w="1252" w:type="dxa"/>
            <w:tcBorders>
              <w:top w:val="single" w:color="auto" w:sz="8" w:space="0"/>
              <w:bottom w:val="single" w:color="auto" w:sz="8" w:space="0"/>
            </w:tcBorders>
            <w:shd w:val="clear" w:color="auto" w:fill="auto"/>
            <w:vAlign w:val="center"/>
          </w:tcPr>
          <w:p>
            <w:pPr>
              <w:pStyle w:val="179"/>
            </w:pPr>
            <w:r>
              <w:rPr>
                <w:rFonts w:hint="eastAsia"/>
              </w:rPr>
              <w:t>可选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rPr>
              <w:t>　适用于加入GS1编码体系的组织或单位，非预包装食用农产品可不选</w:t>
            </w:r>
          </w:p>
        </w:tc>
      </w:tr>
    </w:tbl>
    <w:p>
      <w:pPr>
        <w:pStyle w:val="57"/>
        <w:ind w:firstLine="420"/>
        <w:jc w:val="center"/>
      </w:pPr>
    </w:p>
    <w:p>
      <w:pPr>
        <w:pStyle w:val="57"/>
        <w:ind w:firstLine="420"/>
        <w:jc w:val="center"/>
      </w:pPr>
      <w:r>
        <w:rPr>
          <w:rFonts w:hint="eastAsia"/>
        </w:rPr>
        <w:t>表</w:t>
      </w:r>
      <w:r>
        <w:t>1</w:t>
      </w:r>
      <w:r>
        <w:rPr>
          <w:rFonts w:hint="eastAsia"/>
        </w:rPr>
        <w:t xml:space="preserve"> 控制点及一致性准则清单（续）</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003"/>
        <w:gridCol w:w="1842"/>
        <w:gridCol w:w="3402"/>
        <w:gridCol w:w="1252"/>
        <w:gridCol w:w="18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rPr>
                <w:b/>
              </w:rPr>
            </w:pPr>
            <w:r>
              <w:rPr>
                <w:rFonts w:hint="eastAsia"/>
                <w:b/>
              </w:rPr>
              <w:t>编号</w:t>
            </w:r>
          </w:p>
        </w:tc>
        <w:tc>
          <w:tcPr>
            <w:tcW w:w="1842" w:type="dxa"/>
            <w:tcBorders>
              <w:top w:val="single" w:color="auto" w:sz="8" w:space="0"/>
              <w:bottom w:val="single" w:color="auto" w:sz="8" w:space="0"/>
            </w:tcBorders>
            <w:shd w:val="clear" w:color="auto" w:fill="auto"/>
            <w:vAlign w:val="center"/>
          </w:tcPr>
          <w:p>
            <w:pPr>
              <w:pStyle w:val="179"/>
              <w:rPr>
                <w:b/>
              </w:rPr>
            </w:pPr>
            <w:r>
              <w:rPr>
                <w:rFonts w:hint="eastAsia"/>
                <w:b/>
              </w:rPr>
              <w:t>控制点</w:t>
            </w:r>
          </w:p>
        </w:tc>
        <w:tc>
          <w:tcPr>
            <w:tcW w:w="3402" w:type="dxa"/>
            <w:tcBorders>
              <w:top w:val="single" w:color="auto" w:sz="8" w:space="0"/>
              <w:bottom w:val="single" w:color="auto" w:sz="8" w:space="0"/>
            </w:tcBorders>
            <w:shd w:val="clear" w:color="auto" w:fill="auto"/>
            <w:vAlign w:val="center"/>
          </w:tcPr>
          <w:p>
            <w:pPr>
              <w:pStyle w:val="179"/>
              <w:rPr>
                <w:b/>
              </w:rPr>
            </w:pPr>
            <w:r>
              <w:rPr>
                <w:rFonts w:hint="eastAsia"/>
                <w:b/>
              </w:rPr>
              <w:t>一致性准则</w:t>
            </w:r>
          </w:p>
        </w:tc>
        <w:tc>
          <w:tcPr>
            <w:tcW w:w="1252" w:type="dxa"/>
            <w:tcBorders>
              <w:top w:val="single" w:color="auto" w:sz="8" w:space="0"/>
              <w:bottom w:val="single" w:color="auto" w:sz="8" w:space="0"/>
            </w:tcBorders>
            <w:shd w:val="clear" w:color="auto" w:fill="auto"/>
            <w:vAlign w:val="center"/>
          </w:tcPr>
          <w:p>
            <w:pPr>
              <w:pStyle w:val="179"/>
              <w:rPr>
                <w:b/>
              </w:rPr>
            </w:pPr>
            <w:r>
              <w:rPr>
                <w:rFonts w:hint="eastAsia"/>
                <w:b/>
              </w:rPr>
              <w:t>级别</w:t>
            </w:r>
          </w:p>
        </w:tc>
        <w:tc>
          <w:tcPr>
            <w:tcW w:w="1875" w:type="dxa"/>
            <w:tcBorders>
              <w:top w:val="single" w:color="auto" w:sz="8" w:space="0"/>
              <w:bottom w:val="single" w:color="auto" w:sz="8" w:space="0"/>
            </w:tcBorders>
            <w:shd w:val="clear" w:color="auto" w:fill="auto"/>
            <w:vAlign w:val="center"/>
          </w:tcPr>
          <w:p>
            <w:pPr>
              <w:pStyle w:val="179"/>
              <w:rPr>
                <w:b/>
              </w:rPr>
            </w:pPr>
            <w:r>
              <w:rPr>
                <w:rFonts w:hint="eastAsia"/>
                <w:b/>
              </w:rPr>
              <w:t>适用条件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3166"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3</w:t>
            </w:r>
            <w:r>
              <w:t>.7</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是否在主数据中采用标识代码对所有需要追溯的外部位置（如：储存仓库、配送中心、贸易伙伴）进行标识，相关说明是否在主数据中记录</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所有需要追溯的外部位置（包括但不限于储存仓库、配送中心、贸易伙伴）的标识代码和相关说明信息应记录在主数据中。信息中应包括但不限于：</w:t>
            </w:r>
          </w:p>
          <w:p>
            <w:pPr>
              <w:pStyle w:val="175"/>
              <w:numPr>
                <w:ilvl w:val="0"/>
                <w:numId w:val="41"/>
              </w:numPr>
              <w:rPr>
                <w:sz w:val="18"/>
                <w:szCs w:val="18"/>
              </w:rPr>
            </w:pPr>
            <w:r>
              <w:rPr>
                <w:rFonts w:hint="eastAsia"/>
                <w:sz w:val="18"/>
                <w:szCs w:val="18"/>
              </w:rPr>
              <w:t>位置名称；</w:t>
            </w:r>
          </w:p>
          <w:p>
            <w:pPr>
              <w:pStyle w:val="175"/>
              <w:rPr>
                <w:sz w:val="18"/>
                <w:szCs w:val="18"/>
              </w:rPr>
            </w:pPr>
            <w:r>
              <w:rPr>
                <w:rFonts w:hint="eastAsia"/>
                <w:sz w:val="18"/>
                <w:szCs w:val="18"/>
              </w:rPr>
              <w:t>地址；</w:t>
            </w:r>
          </w:p>
          <w:p>
            <w:pPr>
              <w:pStyle w:val="175"/>
              <w:rPr>
                <w:sz w:val="18"/>
                <w:szCs w:val="18"/>
              </w:rPr>
            </w:pPr>
            <w:r>
              <w:rPr>
                <w:rFonts w:hint="eastAsia"/>
                <w:sz w:val="18"/>
                <w:szCs w:val="18"/>
              </w:rPr>
              <w:t>电话号码；</w:t>
            </w:r>
          </w:p>
          <w:p>
            <w:pPr>
              <w:pStyle w:val="175"/>
              <w:rPr>
                <w:sz w:val="18"/>
                <w:szCs w:val="18"/>
              </w:rPr>
            </w:pPr>
            <w:r>
              <w:rPr>
                <w:rFonts w:hint="eastAsia"/>
                <w:sz w:val="18"/>
                <w:szCs w:val="18"/>
              </w:rPr>
              <w:t>传真号；</w:t>
            </w:r>
          </w:p>
          <w:p>
            <w:pPr>
              <w:pStyle w:val="175"/>
            </w:pPr>
            <w:r>
              <w:rPr>
                <w:rFonts w:hint="eastAsia"/>
                <w:sz w:val="18"/>
                <w:szCs w:val="18"/>
              </w:rPr>
              <w:t>电子邮件</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w:t>
            </w: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适用于存在多个外部位置的中大型企业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3239"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3</w:t>
            </w:r>
            <w:r>
              <w:t>.8</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是否在主数据中采用GLN对需要追溯的所有外部位置（如：储存仓库、配送中心、贸易伙伴）进行标识，相关说明是否在主数据中记录</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所有需要追溯的外部位置（包括但不限于储存仓库、配送中心、贸易伙伴）的GLN标识和相关描述应记录在主数据描述中。描述中应包括但不限于：</w:t>
            </w:r>
          </w:p>
          <w:p>
            <w:pPr>
              <w:pStyle w:val="175"/>
              <w:numPr>
                <w:ilvl w:val="0"/>
                <w:numId w:val="42"/>
              </w:numPr>
              <w:rPr>
                <w:sz w:val="18"/>
                <w:szCs w:val="18"/>
              </w:rPr>
            </w:pPr>
            <w:r>
              <w:rPr>
                <w:rFonts w:hint="eastAsia"/>
                <w:sz w:val="18"/>
                <w:szCs w:val="18"/>
              </w:rPr>
              <w:t>位置名称；</w:t>
            </w:r>
          </w:p>
          <w:p>
            <w:pPr>
              <w:pStyle w:val="175"/>
              <w:rPr>
                <w:sz w:val="18"/>
                <w:szCs w:val="18"/>
              </w:rPr>
            </w:pPr>
            <w:r>
              <w:rPr>
                <w:rFonts w:hint="eastAsia"/>
                <w:sz w:val="18"/>
                <w:szCs w:val="18"/>
              </w:rPr>
              <w:t>地址；</w:t>
            </w:r>
          </w:p>
          <w:p>
            <w:pPr>
              <w:pStyle w:val="175"/>
              <w:rPr>
                <w:sz w:val="18"/>
                <w:szCs w:val="18"/>
              </w:rPr>
            </w:pPr>
            <w:r>
              <w:rPr>
                <w:rFonts w:hint="eastAsia"/>
                <w:sz w:val="18"/>
                <w:szCs w:val="18"/>
              </w:rPr>
              <w:t>电话号码；</w:t>
            </w:r>
          </w:p>
          <w:p>
            <w:pPr>
              <w:pStyle w:val="175"/>
              <w:rPr>
                <w:sz w:val="18"/>
                <w:szCs w:val="18"/>
              </w:rPr>
            </w:pPr>
            <w:r>
              <w:rPr>
                <w:rFonts w:hint="eastAsia"/>
                <w:sz w:val="18"/>
                <w:szCs w:val="18"/>
              </w:rPr>
              <w:t>传真号；</w:t>
            </w:r>
          </w:p>
          <w:p>
            <w:pPr>
              <w:pStyle w:val="175"/>
            </w:pPr>
            <w:r>
              <w:rPr>
                <w:rFonts w:hint="eastAsia"/>
                <w:sz w:val="18"/>
                <w:szCs w:val="18"/>
              </w:rPr>
              <w:t>电子邮件</w:t>
            </w:r>
          </w:p>
        </w:tc>
        <w:tc>
          <w:tcPr>
            <w:tcW w:w="1252" w:type="dxa"/>
            <w:tcBorders>
              <w:top w:val="single" w:color="auto" w:sz="8" w:space="0"/>
              <w:bottom w:val="single" w:color="auto" w:sz="8" w:space="0"/>
            </w:tcBorders>
            <w:shd w:val="clear" w:color="auto" w:fill="auto"/>
            <w:vAlign w:val="center"/>
          </w:tcPr>
          <w:p>
            <w:pPr>
              <w:pStyle w:val="179"/>
            </w:pPr>
            <w:r>
              <w:rPr>
                <w:rFonts w:hint="eastAsia"/>
              </w:rPr>
              <w:t>可选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适用于加入GS1编码体系的组织或单位，</w:t>
            </w:r>
            <w:r>
              <w:rPr>
                <w:rFonts w:hint="eastAsia"/>
              </w:rPr>
              <w:t>非预包装食用农产品可不选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9374" w:type="dxa"/>
            <w:gridSpan w:val="5"/>
            <w:tcBorders>
              <w:top w:val="single" w:color="auto" w:sz="8" w:space="0"/>
              <w:bottom w:val="single" w:color="auto" w:sz="8" w:space="0"/>
            </w:tcBorders>
            <w:shd w:val="clear" w:color="auto" w:fill="auto"/>
            <w:vAlign w:val="center"/>
          </w:tcPr>
          <w:p>
            <w:pPr>
              <w:pStyle w:val="179"/>
              <w:jc w:val="left"/>
              <w:rPr>
                <w:b/>
              </w:rPr>
            </w:pPr>
            <w:r>
              <w:rPr>
                <w:rFonts w:hint="eastAsia"/>
              </w:rPr>
              <w:t>　4．程序建立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2906"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4</w:t>
            </w:r>
            <w:r>
              <w:t>.1</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是否建立相应的程序，对收到、生产和配送的追溯贸易项目进行描述和记录</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对于收到、生产和配送的每一个追溯贸易项目有相应的程序文件。文件应包括：</w:t>
            </w:r>
          </w:p>
          <w:p>
            <w:pPr>
              <w:pStyle w:val="175"/>
              <w:numPr>
                <w:ilvl w:val="0"/>
                <w:numId w:val="43"/>
              </w:numPr>
              <w:rPr>
                <w:sz w:val="18"/>
                <w:szCs w:val="18"/>
              </w:rPr>
            </w:pPr>
            <w:r>
              <w:rPr>
                <w:rFonts w:hint="eastAsia"/>
                <w:sz w:val="18"/>
                <w:szCs w:val="18"/>
              </w:rPr>
              <w:t>程序文件编号；</w:t>
            </w:r>
          </w:p>
          <w:p>
            <w:pPr>
              <w:pStyle w:val="175"/>
              <w:rPr>
                <w:sz w:val="18"/>
                <w:szCs w:val="18"/>
              </w:rPr>
            </w:pPr>
            <w:r>
              <w:rPr>
                <w:rFonts w:hint="eastAsia"/>
                <w:sz w:val="18"/>
                <w:szCs w:val="18"/>
              </w:rPr>
              <w:t>产品名称；</w:t>
            </w:r>
          </w:p>
          <w:p>
            <w:pPr>
              <w:pStyle w:val="175"/>
              <w:rPr>
                <w:sz w:val="18"/>
                <w:szCs w:val="18"/>
              </w:rPr>
            </w:pPr>
            <w:r>
              <w:rPr>
                <w:rFonts w:hint="eastAsia"/>
                <w:sz w:val="18"/>
                <w:szCs w:val="18"/>
              </w:rPr>
              <w:t>成分；</w:t>
            </w:r>
          </w:p>
          <w:p>
            <w:pPr>
              <w:pStyle w:val="175"/>
              <w:rPr>
                <w:sz w:val="18"/>
                <w:szCs w:val="18"/>
              </w:rPr>
            </w:pPr>
            <w:r>
              <w:rPr>
                <w:rFonts w:hint="eastAsia"/>
                <w:sz w:val="18"/>
                <w:szCs w:val="18"/>
              </w:rPr>
              <w:t>数量；</w:t>
            </w:r>
          </w:p>
          <w:p>
            <w:pPr>
              <w:pStyle w:val="175"/>
              <w:rPr>
                <w:sz w:val="18"/>
                <w:szCs w:val="18"/>
              </w:rPr>
            </w:pPr>
            <w:r>
              <w:rPr>
                <w:rFonts w:hint="eastAsia"/>
                <w:sz w:val="18"/>
                <w:szCs w:val="18"/>
              </w:rPr>
              <w:t>包装；</w:t>
            </w:r>
          </w:p>
          <w:p>
            <w:pPr>
              <w:pStyle w:val="175"/>
            </w:pPr>
            <w:r>
              <w:rPr>
                <w:rFonts w:hint="eastAsia"/>
                <w:sz w:val="18"/>
                <w:szCs w:val="18"/>
              </w:rPr>
              <w:t>配送方法</w:t>
            </w:r>
          </w:p>
        </w:tc>
        <w:tc>
          <w:tcPr>
            <w:tcW w:w="1252" w:type="dxa"/>
            <w:tcBorders>
              <w:top w:val="single" w:color="auto" w:sz="8" w:space="0"/>
              <w:bottom w:val="single" w:color="auto" w:sz="8" w:space="0"/>
            </w:tcBorders>
            <w:shd w:val="clear" w:color="auto" w:fill="auto"/>
            <w:vAlign w:val="center"/>
          </w:tcPr>
          <w:p>
            <w:pPr>
              <w:pStyle w:val="179"/>
            </w:pP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1544"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4</w:t>
            </w:r>
            <w:r>
              <w:t>.2</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是否有详细的程序，对创建的每一个贸易项目的批次号进行定义</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对创建的每一个贸易项目的批次号有详细的程序文件</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w:t>
            </w: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适用于按批次离散化进行生产的企业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1541"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4</w:t>
            </w:r>
            <w:r>
              <w:t>.3</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是否有检查关于编码和代码分配与GS1标准一致性的过程</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对分配的所有贸易项目的条码的质量、代码的分配以及GTIN维护的程序有相应的文件记录，以确保其符合GS1标准的要求</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w:t>
            </w: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rPr>
              <w:t>　适用于加入GS1编码体系的组织或单位，非预包装食用农产品可适用</w:t>
            </w:r>
          </w:p>
        </w:tc>
      </w:tr>
    </w:tbl>
    <w:p>
      <w:pPr>
        <w:pStyle w:val="57"/>
        <w:ind w:firstLine="420"/>
        <w:jc w:val="center"/>
      </w:pPr>
      <w:r>
        <w:rPr>
          <w:rFonts w:hint="eastAsia"/>
        </w:rPr>
        <w:t>表</w:t>
      </w:r>
      <w:r>
        <w:t>1</w:t>
      </w:r>
      <w:r>
        <w:rPr>
          <w:rFonts w:hint="eastAsia"/>
        </w:rPr>
        <w:t xml:space="preserve"> 控制点及一致性准则清单（续）</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003"/>
        <w:gridCol w:w="1842"/>
        <w:gridCol w:w="3402"/>
        <w:gridCol w:w="1252"/>
        <w:gridCol w:w="18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rPr>
                <w:b/>
              </w:rPr>
            </w:pPr>
            <w:r>
              <w:rPr>
                <w:rFonts w:hint="eastAsia"/>
                <w:b/>
              </w:rPr>
              <w:t>编号</w:t>
            </w:r>
          </w:p>
        </w:tc>
        <w:tc>
          <w:tcPr>
            <w:tcW w:w="1842" w:type="dxa"/>
            <w:tcBorders>
              <w:top w:val="single" w:color="auto" w:sz="8" w:space="0"/>
              <w:bottom w:val="single" w:color="auto" w:sz="8" w:space="0"/>
            </w:tcBorders>
            <w:shd w:val="clear" w:color="auto" w:fill="auto"/>
            <w:vAlign w:val="center"/>
          </w:tcPr>
          <w:p>
            <w:pPr>
              <w:pStyle w:val="179"/>
              <w:rPr>
                <w:b/>
              </w:rPr>
            </w:pPr>
            <w:r>
              <w:rPr>
                <w:rFonts w:hint="eastAsia"/>
                <w:b/>
              </w:rPr>
              <w:t>控制点</w:t>
            </w:r>
          </w:p>
        </w:tc>
        <w:tc>
          <w:tcPr>
            <w:tcW w:w="3402" w:type="dxa"/>
            <w:tcBorders>
              <w:top w:val="single" w:color="auto" w:sz="8" w:space="0"/>
              <w:bottom w:val="single" w:color="auto" w:sz="8" w:space="0"/>
            </w:tcBorders>
            <w:shd w:val="clear" w:color="auto" w:fill="auto"/>
            <w:vAlign w:val="center"/>
          </w:tcPr>
          <w:p>
            <w:pPr>
              <w:pStyle w:val="179"/>
              <w:rPr>
                <w:b/>
              </w:rPr>
            </w:pPr>
            <w:r>
              <w:rPr>
                <w:rFonts w:hint="eastAsia"/>
                <w:b/>
              </w:rPr>
              <w:t>一致性准则</w:t>
            </w:r>
          </w:p>
        </w:tc>
        <w:tc>
          <w:tcPr>
            <w:tcW w:w="1252" w:type="dxa"/>
            <w:tcBorders>
              <w:top w:val="single" w:color="auto" w:sz="8" w:space="0"/>
              <w:bottom w:val="single" w:color="auto" w:sz="8" w:space="0"/>
            </w:tcBorders>
            <w:shd w:val="clear" w:color="auto" w:fill="auto"/>
            <w:vAlign w:val="center"/>
          </w:tcPr>
          <w:p>
            <w:pPr>
              <w:pStyle w:val="179"/>
              <w:rPr>
                <w:b/>
              </w:rPr>
            </w:pPr>
            <w:r>
              <w:rPr>
                <w:rFonts w:hint="eastAsia"/>
                <w:b/>
              </w:rPr>
              <w:t>级别</w:t>
            </w:r>
          </w:p>
        </w:tc>
        <w:tc>
          <w:tcPr>
            <w:tcW w:w="1875" w:type="dxa"/>
            <w:tcBorders>
              <w:top w:val="single" w:color="auto" w:sz="8" w:space="0"/>
              <w:bottom w:val="single" w:color="auto" w:sz="8" w:space="0"/>
            </w:tcBorders>
            <w:shd w:val="clear" w:color="auto" w:fill="auto"/>
            <w:vAlign w:val="center"/>
          </w:tcPr>
          <w:p>
            <w:pPr>
              <w:pStyle w:val="179"/>
              <w:rPr>
                <w:b/>
              </w:rPr>
            </w:pPr>
            <w:r>
              <w:rPr>
                <w:rFonts w:hint="eastAsia"/>
                <w:b/>
              </w:rPr>
              <w:t>适用条件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4442"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4</w:t>
            </w:r>
            <w:r>
              <w:t>.4</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是否建立相应的程序，对所生产的可追溯成品、半成品进行描述和记录</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对于所生产的可追溯成品、半成品有描述和记录的程序文件。文件应包括：</w:t>
            </w:r>
          </w:p>
          <w:p>
            <w:pPr>
              <w:pStyle w:val="175"/>
              <w:numPr>
                <w:ilvl w:val="0"/>
                <w:numId w:val="44"/>
              </w:numPr>
              <w:rPr>
                <w:sz w:val="18"/>
                <w:szCs w:val="18"/>
              </w:rPr>
            </w:pPr>
            <w:r>
              <w:rPr>
                <w:rFonts w:hint="eastAsia"/>
                <w:sz w:val="18"/>
                <w:szCs w:val="18"/>
              </w:rPr>
              <w:t>程序文件编号；</w:t>
            </w:r>
          </w:p>
          <w:p>
            <w:pPr>
              <w:pStyle w:val="175"/>
              <w:rPr>
                <w:sz w:val="18"/>
                <w:szCs w:val="18"/>
              </w:rPr>
            </w:pPr>
            <w:r>
              <w:rPr>
                <w:rFonts w:hint="eastAsia"/>
                <w:sz w:val="18"/>
                <w:szCs w:val="18"/>
              </w:rPr>
              <w:t>产品名称；</w:t>
            </w:r>
          </w:p>
          <w:p>
            <w:pPr>
              <w:pStyle w:val="175"/>
              <w:rPr>
                <w:sz w:val="18"/>
                <w:szCs w:val="18"/>
              </w:rPr>
            </w:pPr>
            <w:r>
              <w:rPr>
                <w:rFonts w:hint="eastAsia"/>
                <w:sz w:val="18"/>
                <w:szCs w:val="18"/>
              </w:rPr>
              <w:t>可追溯唯一标识；</w:t>
            </w:r>
          </w:p>
          <w:p>
            <w:pPr>
              <w:pStyle w:val="175"/>
              <w:rPr>
                <w:sz w:val="18"/>
                <w:szCs w:val="18"/>
              </w:rPr>
            </w:pPr>
            <w:r>
              <w:rPr>
                <w:rFonts w:hint="eastAsia"/>
                <w:sz w:val="18"/>
                <w:szCs w:val="18"/>
              </w:rPr>
              <w:t>生产批次号；</w:t>
            </w:r>
          </w:p>
          <w:p>
            <w:pPr>
              <w:pStyle w:val="175"/>
              <w:rPr>
                <w:sz w:val="18"/>
                <w:szCs w:val="18"/>
              </w:rPr>
            </w:pPr>
            <w:r>
              <w:rPr>
                <w:rFonts w:hint="eastAsia"/>
                <w:sz w:val="18"/>
                <w:szCs w:val="18"/>
              </w:rPr>
              <w:t>数量；</w:t>
            </w:r>
          </w:p>
          <w:p>
            <w:pPr>
              <w:pStyle w:val="175"/>
              <w:rPr>
                <w:sz w:val="18"/>
                <w:szCs w:val="18"/>
              </w:rPr>
            </w:pPr>
            <w:r>
              <w:rPr>
                <w:rFonts w:hint="eastAsia"/>
                <w:sz w:val="18"/>
                <w:szCs w:val="18"/>
              </w:rPr>
              <w:t>包装规格；</w:t>
            </w:r>
          </w:p>
          <w:p>
            <w:pPr>
              <w:pStyle w:val="175"/>
              <w:rPr>
                <w:sz w:val="18"/>
                <w:szCs w:val="18"/>
              </w:rPr>
            </w:pPr>
            <w:r>
              <w:rPr>
                <w:rFonts w:hint="eastAsia"/>
                <w:sz w:val="18"/>
                <w:szCs w:val="18"/>
              </w:rPr>
              <w:t>食品配料表；</w:t>
            </w:r>
          </w:p>
          <w:p>
            <w:pPr>
              <w:pStyle w:val="175"/>
              <w:rPr>
                <w:sz w:val="18"/>
                <w:szCs w:val="18"/>
              </w:rPr>
            </w:pPr>
            <w:r>
              <w:rPr>
                <w:rFonts w:hint="eastAsia"/>
                <w:sz w:val="18"/>
                <w:szCs w:val="18"/>
              </w:rPr>
              <w:t>添加剂使用记录；</w:t>
            </w:r>
          </w:p>
          <w:p>
            <w:pPr>
              <w:pStyle w:val="175"/>
              <w:rPr>
                <w:sz w:val="18"/>
                <w:szCs w:val="18"/>
              </w:rPr>
            </w:pPr>
            <w:r>
              <w:rPr>
                <w:rFonts w:hint="eastAsia"/>
                <w:sz w:val="18"/>
                <w:szCs w:val="18"/>
              </w:rPr>
              <w:t>生产日期及保质期；</w:t>
            </w:r>
          </w:p>
          <w:p>
            <w:pPr>
              <w:pStyle w:val="175"/>
              <w:rPr>
                <w:sz w:val="18"/>
                <w:szCs w:val="18"/>
              </w:rPr>
            </w:pPr>
            <w:r>
              <w:rPr>
                <w:rFonts w:hint="eastAsia"/>
                <w:sz w:val="18"/>
                <w:szCs w:val="18"/>
              </w:rPr>
              <w:t>质量证明信息；</w:t>
            </w:r>
          </w:p>
          <w:p>
            <w:pPr>
              <w:pStyle w:val="175"/>
            </w:pPr>
            <w:r>
              <w:rPr>
                <w:rFonts w:hint="eastAsia"/>
                <w:sz w:val="18"/>
                <w:szCs w:val="18"/>
              </w:rPr>
              <w:t>配送方法</w:t>
            </w:r>
          </w:p>
        </w:tc>
        <w:tc>
          <w:tcPr>
            <w:tcW w:w="1252" w:type="dxa"/>
            <w:tcBorders>
              <w:top w:val="single" w:color="auto" w:sz="8" w:space="0"/>
              <w:bottom w:val="single" w:color="auto" w:sz="8" w:space="0"/>
            </w:tcBorders>
            <w:shd w:val="clear" w:color="auto" w:fill="auto"/>
            <w:vAlign w:val="center"/>
          </w:tcPr>
          <w:p>
            <w:pPr>
              <w:pStyle w:val="179"/>
            </w:pP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4</w:t>
            </w:r>
            <w:r>
              <w:t>.5</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是否建立相应的程序，对库存成品、半成品的追溯信息进行描述和记录</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对需要追溯到每一批次的库存成品、半成品有程序文件对追溯信息进行描述和记录</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w:t>
            </w: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rPr>
              <w:t>　适用于保质期半年以内的库存产品、冷链食品、生鲜等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2396"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4</w:t>
            </w:r>
            <w:r>
              <w:t>.6</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是否建立相应的程序，保持追溯主数据与贸易伙伴一致</w:t>
            </w:r>
          </w:p>
        </w:tc>
        <w:tc>
          <w:tcPr>
            <w:tcW w:w="3402" w:type="dxa"/>
            <w:tcBorders>
              <w:top w:val="single" w:color="auto" w:sz="8" w:space="0"/>
              <w:bottom w:val="single" w:color="auto" w:sz="8" w:space="0"/>
            </w:tcBorders>
            <w:shd w:val="clear" w:color="auto" w:fill="auto"/>
            <w:vAlign w:val="center"/>
          </w:tcPr>
          <w:p>
            <w:pPr>
              <w:pStyle w:val="179"/>
              <w:ind w:firstLine="180" w:firstLineChars="100"/>
              <w:jc w:val="left"/>
            </w:pPr>
            <w:r>
              <w:rPr>
                <w:rFonts w:hint="eastAsia"/>
              </w:rPr>
              <w:t>对相关信息进行详细记录，与贸易伙伴通过有效的方法进行主数据同步。同步的主数据应包括：</w:t>
            </w:r>
          </w:p>
          <w:p>
            <w:pPr>
              <w:pStyle w:val="175"/>
              <w:numPr>
                <w:ilvl w:val="0"/>
                <w:numId w:val="45"/>
              </w:numPr>
              <w:rPr>
                <w:sz w:val="18"/>
                <w:szCs w:val="18"/>
              </w:rPr>
            </w:pPr>
            <w:r>
              <w:rPr>
                <w:rFonts w:hint="eastAsia"/>
                <w:sz w:val="18"/>
                <w:szCs w:val="18"/>
              </w:rPr>
              <w:t>参与方；</w:t>
            </w:r>
          </w:p>
          <w:p>
            <w:pPr>
              <w:pStyle w:val="175"/>
              <w:rPr>
                <w:sz w:val="18"/>
                <w:szCs w:val="18"/>
              </w:rPr>
            </w:pPr>
            <w:r>
              <w:rPr>
                <w:rFonts w:hint="eastAsia"/>
                <w:sz w:val="18"/>
                <w:szCs w:val="18"/>
              </w:rPr>
              <w:t>物理位置；</w:t>
            </w:r>
          </w:p>
          <w:p>
            <w:pPr>
              <w:pStyle w:val="175"/>
              <w:rPr>
                <w:sz w:val="18"/>
                <w:szCs w:val="18"/>
              </w:rPr>
            </w:pPr>
            <w:r>
              <w:rPr>
                <w:rFonts w:hint="eastAsia"/>
                <w:sz w:val="18"/>
                <w:szCs w:val="18"/>
              </w:rPr>
              <w:t>资产；</w:t>
            </w:r>
          </w:p>
          <w:p>
            <w:pPr>
              <w:pStyle w:val="175"/>
            </w:pPr>
            <w:r>
              <w:rPr>
                <w:rFonts w:hint="eastAsia"/>
                <w:sz w:val="18"/>
                <w:szCs w:val="18"/>
              </w:rPr>
              <w:t>追溯贸易项目</w:t>
            </w:r>
          </w:p>
        </w:tc>
        <w:tc>
          <w:tcPr>
            <w:tcW w:w="1252" w:type="dxa"/>
            <w:tcBorders>
              <w:top w:val="single" w:color="auto" w:sz="8" w:space="0"/>
              <w:bottom w:val="single" w:color="auto" w:sz="8" w:space="0"/>
            </w:tcBorders>
            <w:shd w:val="clear" w:color="auto" w:fill="auto"/>
            <w:vAlign w:val="center"/>
          </w:tcPr>
          <w:p>
            <w:pPr>
              <w:pStyle w:val="179"/>
              <w:rPr>
                <w:b/>
              </w:rPr>
            </w:pPr>
            <w:r>
              <w:rPr>
                <w:rFonts w:hint="eastAsia"/>
              </w:rPr>
              <w:t>有条件</w:t>
            </w:r>
            <w:r>
              <w:t>必选</w:t>
            </w:r>
          </w:p>
        </w:tc>
        <w:tc>
          <w:tcPr>
            <w:tcW w:w="1875" w:type="dxa"/>
            <w:tcBorders>
              <w:top w:val="single" w:color="auto" w:sz="8" w:space="0"/>
              <w:bottom w:val="single" w:color="auto" w:sz="8" w:space="0"/>
            </w:tcBorders>
            <w:shd w:val="clear" w:color="auto" w:fill="auto"/>
            <w:vAlign w:val="center"/>
          </w:tcPr>
          <w:p>
            <w:pPr>
              <w:pStyle w:val="179"/>
              <w:jc w:val="left"/>
              <w:rPr>
                <w:b/>
              </w:rPr>
            </w:pPr>
            <w:r>
              <w:rPr>
                <w:rFonts w:hint="eastAsia"/>
              </w:rPr>
              <w:t>　适用于有条件与贸易伙伴建立高效数据同步的组织或单位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2409"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4</w:t>
            </w:r>
            <w:r>
              <w:t>.7</w:t>
            </w:r>
          </w:p>
        </w:tc>
        <w:tc>
          <w:tcPr>
            <w:tcW w:w="1842"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通过GDSN，是否与贸易伙伴实现有效的数据同步</w:t>
            </w:r>
          </w:p>
        </w:tc>
        <w:tc>
          <w:tcPr>
            <w:tcW w:w="3402"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对相关信息进行详细记录，与贸易伙伴通过GDSN进行有效的主数据同步。同步的主数据应包括：</w:t>
            </w:r>
          </w:p>
          <w:p>
            <w:pPr>
              <w:pStyle w:val="175"/>
              <w:numPr>
                <w:ilvl w:val="0"/>
                <w:numId w:val="46"/>
              </w:numPr>
              <w:rPr>
                <w:sz w:val="18"/>
                <w:szCs w:val="18"/>
              </w:rPr>
            </w:pPr>
            <w:r>
              <w:rPr>
                <w:rFonts w:hint="eastAsia"/>
                <w:sz w:val="18"/>
                <w:szCs w:val="18"/>
              </w:rPr>
              <w:t>参与方；</w:t>
            </w:r>
          </w:p>
          <w:p>
            <w:pPr>
              <w:pStyle w:val="175"/>
              <w:rPr>
                <w:sz w:val="18"/>
                <w:szCs w:val="18"/>
              </w:rPr>
            </w:pPr>
            <w:r>
              <w:rPr>
                <w:rFonts w:hint="eastAsia"/>
                <w:sz w:val="18"/>
                <w:szCs w:val="18"/>
              </w:rPr>
              <w:t>物理位置；</w:t>
            </w:r>
          </w:p>
          <w:p>
            <w:pPr>
              <w:pStyle w:val="175"/>
              <w:rPr>
                <w:sz w:val="18"/>
                <w:szCs w:val="18"/>
              </w:rPr>
            </w:pPr>
            <w:r>
              <w:rPr>
                <w:rFonts w:hint="eastAsia"/>
                <w:sz w:val="18"/>
                <w:szCs w:val="18"/>
              </w:rPr>
              <w:t>资产；</w:t>
            </w:r>
          </w:p>
          <w:p>
            <w:pPr>
              <w:pStyle w:val="175"/>
              <w:rPr>
                <w:sz w:val="18"/>
                <w:szCs w:val="18"/>
              </w:rPr>
            </w:pPr>
            <w:r>
              <w:rPr>
                <w:rFonts w:hint="eastAsia"/>
                <w:sz w:val="18"/>
                <w:szCs w:val="18"/>
              </w:rPr>
              <w:t>追溯贸易项目</w:t>
            </w:r>
          </w:p>
        </w:tc>
        <w:tc>
          <w:tcPr>
            <w:tcW w:w="1252" w:type="dxa"/>
            <w:tcBorders>
              <w:top w:val="single" w:color="auto" w:sz="8" w:space="0"/>
              <w:bottom w:val="single" w:color="auto" w:sz="8" w:space="0"/>
            </w:tcBorders>
            <w:shd w:val="clear" w:color="auto" w:fill="auto"/>
            <w:vAlign w:val="center"/>
          </w:tcPr>
          <w:p>
            <w:pPr>
              <w:pStyle w:val="179"/>
              <w:rPr>
                <w:szCs w:val="18"/>
              </w:rPr>
            </w:pPr>
            <w:r>
              <w:rPr>
                <w:rFonts w:hint="eastAsia"/>
                <w:szCs w:val="18"/>
              </w:rPr>
              <w:t>可选</w:t>
            </w:r>
          </w:p>
        </w:tc>
        <w:tc>
          <w:tcPr>
            <w:tcW w:w="1875"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适用于有条件于贸易伙伴建立高效数据同步的组织或单位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4</w:t>
            </w:r>
            <w:r>
              <w:t>.8</w:t>
            </w:r>
          </w:p>
        </w:tc>
        <w:tc>
          <w:tcPr>
            <w:tcW w:w="1842"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在贸易伙伴和指定的责任人之间是否制定程序和机制（电子化或纸质），对每一个环节中的追溯节点实现精确及时的数据采集，记录并分享追溯信息</w:t>
            </w:r>
          </w:p>
        </w:tc>
        <w:tc>
          <w:tcPr>
            <w:tcW w:w="3402"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有电子或纸质形式和（或）追溯环节各个节点的信息采集、记录和分享的详细程序机制，明确每一个信息记录的责任人</w:t>
            </w:r>
          </w:p>
        </w:tc>
        <w:tc>
          <w:tcPr>
            <w:tcW w:w="1252" w:type="dxa"/>
            <w:tcBorders>
              <w:top w:val="single" w:color="auto" w:sz="8" w:space="0"/>
              <w:bottom w:val="single" w:color="auto" w:sz="8" w:space="0"/>
            </w:tcBorders>
            <w:shd w:val="clear" w:color="auto" w:fill="auto"/>
            <w:vAlign w:val="center"/>
          </w:tcPr>
          <w:p>
            <w:pPr>
              <w:pStyle w:val="179"/>
              <w:rPr>
                <w:szCs w:val="18"/>
              </w:rPr>
            </w:pPr>
            <w:r>
              <w:t>必选</w:t>
            </w:r>
          </w:p>
        </w:tc>
        <w:tc>
          <w:tcPr>
            <w:tcW w:w="1875" w:type="dxa"/>
            <w:tcBorders>
              <w:top w:val="single" w:color="auto" w:sz="8" w:space="0"/>
              <w:bottom w:val="single" w:color="auto" w:sz="8" w:space="0"/>
            </w:tcBorders>
            <w:shd w:val="clear" w:color="auto" w:fill="auto"/>
            <w:vAlign w:val="center"/>
          </w:tcPr>
          <w:p>
            <w:pPr>
              <w:pStyle w:val="179"/>
              <w:jc w:val="left"/>
              <w:rPr>
                <w:szCs w:val="18"/>
              </w:rPr>
            </w:pPr>
            <w:r>
              <w:rPr>
                <w:rFonts w:hint="eastAsia" w:hAnsi="宋体"/>
                <w:szCs w:val="18"/>
              </w:rPr>
              <w:t>　适用于加入GS1编码体系的组织或单位，</w:t>
            </w:r>
            <w:r>
              <w:rPr>
                <w:rFonts w:hint="eastAsia"/>
                <w:szCs w:val="18"/>
              </w:rPr>
              <w:t>非预包装食用农产品可不选</w:t>
            </w:r>
          </w:p>
        </w:tc>
      </w:tr>
    </w:tbl>
    <w:p>
      <w:pPr>
        <w:pStyle w:val="57"/>
        <w:ind w:firstLine="420"/>
        <w:jc w:val="center"/>
      </w:pPr>
      <w:r>
        <w:rPr>
          <w:rFonts w:hint="eastAsia"/>
        </w:rPr>
        <w:t>表</w:t>
      </w:r>
      <w:r>
        <w:t>1</w:t>
      </w:r>
      <w:r>
        <w:rPr>
          <w:rFonts w:hint="eastAsia"/>
        </w:rPr>
        <w:t xml:space="preserve"> 控制点及一致性准则清单（续）</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003"/>
        <w:gridCol w:w="1842"/>
        <w:gridCol w:w="3402"/>
        <w:gridCol w:w="1252"/>
        <w:gridCol w:w="18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rPr>
                <w:b/>
              </w:rPr>
            </w:pPr>
            <w:r>
              <w:rPr>
                <w:rFonts w:hint="eastAsia"/>
                <w:b/>
              </w:rPr>
              <w:t>编号</w:t>
            </w:r>
          </w:p>
        </w:tc>
        <w:tc>
          <w:tcPr>
            <w:tcW w:w="1842" w:type="dxa"/>
            <w:tcBorders>
              <w:top w:val="single" w:color="auto" w:sz="8" w:space="0"/>
              <w:bottom w:val="single" w:color="auto" w:sz="8" w:space="0"/>
            </w:tcBorders>
            <w:shd w:val="clear" w:color="auto" w:fill="auto"/>
            <w:vAlign w:val="center"/>
          </w:tcPr>
          <w:p>
            <w:pPr>
              <w:pStyle w:val="179"/>
              <w:rPr>
                <w:b/>
              </w:rPr>
            </w:pPr>
            <w:r>
              <w:rPr>
                <w:rFonts w:hint="eastAsia"/>
                <w:b/>
              </w:rPr>
              <w:t>控制点</w:t>
            </w:r>
          </w:p>
        </w:tc>
        <w:tc>
          <w:tcPr>
            <w:tcW w:w="3402" w:type="dxa"/>
            <w:tcBorders>
              <w:top w:val="single" w:color="auto" w:sz="8" w:space="0"/>
              <w:bottom w:val="single" w:color="auto" w:sz="8" w:space="0"/>
            </w:tcBorders>
            <w:shd w:val="clear" w:color="auto" w:fill="auto"/>
            <w:vAlign w:val="center"/>
          </w:tcPr>
          <w:p>
            <w:pPr>
              <w:pStyle w:val="179"/>
              <w:rPr>
                <w:b/>
              </w:rPr>
            </w:pPr>
            <w:r>
              <w:rPr>
                <w:rFonts w:hint="eastAsia"/>
                <w:b/>
              </w:rPr>
              <w:t>一致性准则</w:t>
            </w:r>
          </w:p>
        </w:tc>
        <w:tc>
          <w:tcPr>
            <w:tcW w:w="1252" w:type="dxa"/>
            <w:tcBorders>
              <w:top w:val="single" w:color="auto" w:sz="8" w:space="0"/>
              <w:bottom w:val="single" w:color="auto" w:sz="8" w:space="0"/>
            </w:tcBorders>
            <w:shd w:val="clear" w:color="auto" w:fill="auto"/>
            <w:vAlign w:val="center"/>
          </w:tcPr>
          <w:p>
            <w:pPr>
              <w:pStyle w:val="179"/>
              <w:rPr>
                <w:b/>
              </w:rPr>
            </w:pPr>
            <w:r>
              <w:rPr>
                <w:rFonts w:hint="eastAsia"/>
                <w:b/>
              </w:rPr>
              <w:t>级别</w:t>
            </w:r>
          </w:p>
        </w:tc>
        <w:tc>
          <w:tcPr>
            <w:tcW w:w="1875" w:type="dxa"/>
            <w:tcBorders>
              <w:top w:val="single" w:color="auto" w:sz="8" w:space="0"/>
              <w:bottom w:val="single" w:color="auto" w:sz="8" w:space="0"/>
            </w:tcBorders>
            <w:shd w:val="clear" w:color="auto" w:fill="auto"/>
            <w:vAlign w:val="center"/>
          </w:tcPr>
          <w:p>
            <w:pPr>
              <w:pStyle w:val="179"/>
              <w:rPr>
                <w:b/>
              </w:rPr>
            </w:pPr>
            <w:r>
              <w:rPr>
                <w:rFonts w:hint="eastAsia"/>
                <w:b/>
              </w:rPr>
              <w:t>适用条件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4</w:t>
            </w:r>
            <w:r>
              <w:t>.9</w:t>
            </w:r>
          </w:p>
        </w:tc>
        <w:tc>
          <w:tcPr>
            <w:tcW w:w="1842"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是否有适合的内部和外部追溯请求程序</w:t>
            </w:r>
          </w:p>
        </w:tc>
        <w:tc>
          <w:tcPr>
            <w:tcW w:w="3402"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针对危机事件建立追溯请求程序。应包括：</w:t>
            </w:r>
          </w:p>
          <w:p>
            <w:pPr>
              <w:pStyle w:val="175"/>
              <w:numPr>
                <w:ilvl w:val="0"/>
                <w:numId w:val="47"/>
              </w:numPr>
              <w:rPr>
                <w:sz w:val="18"/>
                <w:szCs w:val="18"/>
              </w:rPr>
            </w:pPr>
            <w:r>
              <w:rPr>
                <w:rFonts w:hint="eastAsia"/>
                <w:sz w:val="18"/>
                <w:szCs w:val="18"/>
              </w:rPr>
              <w:t>内部和外部参与方的清单；</w:t>
            </w:r>
          </w:p>
          <w:p>
            <w:pPr>
              <w:pStyle w:val="175"/>
              <w:rPr>
                <w:sz w:val="18"/>
                <w:szCs w:val="18"/>
              </w:rPr>
            </w:pPr>
            <w:r>
              <w:rPr>
                <w:rFonts w:hint="eastAsia"/>
                <w:sz w:val="18"/>
                <w:szCs w:val="18"/>
              </w:rPr>
              <w:t>指定危机管理（包括但不限于召回）的员工并明确职责；</w:t>
            </w:r>
          </w:p>
          <w:p>
            <w:pPr>
              <w:pStyle w:val="175"/>
              <w:rPr>
                <w:sz w:val="18"/>
                <w:szCs w:val="18"/>
              </w:rPr>
            </w:pPr>
            <w:r>
              <w:rPr>
                <w:rFonts w:hint="eastAsia"/>
                <w:sz w:val="18"/>
                <w:szCs w:val="18"/>
              </w:rPr>
              <w:t>内部和外部追溯要求相关的沟通计划；</w:t>
            </w:r>
          </w:p>
          <w:p>
            <w:pPr>
              <w:pStyle w:val="175"/>
              <w:rPr>
                <w:sz w:val="18"/>
                <w:szCs w:val="18"/>
              </w:rPr>
            </w:pPr>
            <w:r>
              <w:rPr>
                <w:rFonts w:hint="eastAsia"/>
                <w:sz w:val="18"/>
                <w:szCs w:val="18"/>
              </w:rPr>
              <w:t>关键的产品属性，包括但不限于产品标识号、批次、数量、成分、原料类型、批次（或生产制造）日期；</w:t>
            </w:r>
          </w:p>
          <w:p>
            <w:pPr>
              <w:pStyle w:val="175"/>
              <w:rPr>
                <w:sz w:val="18"/>
                <w:szCs w:val="18"/>
              </w:rPr>
            </w:pPr>
            <w:r>
              <w:rPr>
                <w:rFonts w:hint="eastAsia"/>
                <w:sz w:val="18"/>
                <w:szCs w:val="18"/>
              </w:rPr>
              <w:t>本组织或单位和贸易伙伴间的位置标识（或位置属性）；</w:t>
            </w:r>
          </w:p>
          <w:p>
            <w:pPr>
              <w:pStyle w:val="175"/>
              <w:rPr>
                <w:sz w:val="18"/>
                <w:szCs w:val="18"/>
              </w:rPr>
            </w:pPr>
            <w:r>
              <w:rPr>
                <w:rFonts w:hint="eastAsia"/>
                <w:sz w:val="18"/>
                <w:szCs w:val="18"/>
              </w:rPr>
              <w:t>为内部和外部参与方提供证明文件清单</w:t>
            </w:r>
          </w:p>
        </w:tc>
        <w:tc>
          <w:tcPr>
            <w:tcW w:w="1252" w:type="dxa"/>
            <w:tcBorders>
              <w:top w:val="single" w:color="auto" w:sz="8" w:space="0"/>
              <w:bottom w:val="single" w:color="auto" w:sz="8" w:space="0"/>
            </w:tcBorders>
            <w:shd w:val="clear" w:color="auto" w:fill="auto"/>
            <w:vAlign w:val="center"/>
          </w:tcPr>
          <w:p>
            <w:pPr>
              <w:pStyle w:val="179"/>
              <w:rPr>
                <w:szCs w:val="18"/>
              </w:rPr>
            </w:pPr>
            <w:r>
              <w:t>必选</w:t>
            </w:r>
          </w:p>
        </w:tc>
        <w:tc>
          <w:tcPr>
            <w:tcW w:w="1875"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4</w:t>
            </w:r>
            <w:r>
              <w:t>.10</w:t>
            </w:r>
          </w:p>
        </w:tc>
        <w:tc>
          <w:tcPr>
            <w:tcW w:w="1842"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是否建立了程序文件，描述当发生召回、下架、食品安全危机等事故时，如何与内外部各方进行沟通</w:t>
            </w:r>
          </w:p>
        </w:tc>
        <w:tc>
          <w:tcPr>
            <w:tcW w:w="3402"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形成程序文件，详细描述发生召回、下架、食品安全危机等事故时如何与相关方沟通，应包括：</w:t>
            </w:r>
          </w:p>
          <w:p>
            <w:pPr>
              <w:pStyle w:val="175"/>
              <w:numPr>
                <w:ilvl w:val="0"/>
                <w:numId w:val="48"/>
              </w:numPr>
              <w:rPr>
                <w:sz w:val="18"/>
                <w:szCs w:val="18"/>
              </w:rPr>
            </w:pPr>
            <w:r>
              <w:rPr>
                <w:rFonts w:hint="eastAsia"/>
                <w:sz w:val="18"/>
                <w:szCs w:val="18"/>
              </w:rPr>
              <w:t>质量和安全团队（内部）；</w:t>
            </w:r>
          </w:p>
          <w:p>
            <w:pPr>
              <w:pStyle w:val="175"/>
              <w:rPr>
                <w:sz w:val="18"/>
                <w:szCs w:val="18"/>
              </w:rPr>
            </w:pPr>
            <w:r>
              <w:rPr>
                <w:rFonts w:hint="eastAsia"/>
                <w:sz w:val="18"/>
                <w:szCs w:val="18"/>
              </w:rPr>
              <w:t>产品经理（内部）；</w:t>
            </w:r>
          </w:p>
          <w:p>
            <w:pPr>
              <w:pStyle w:val="175"/>
              <w:rPr>
                <w:sz w:val="18"/>
                <w:szCs w:val="18"/>
              </w:rPr>
            </w:pPr>
            <w:r>
              <w:rPr>
                <w:rFonts w:hint="eastAsia"/>
                <w:sz w:val="18"/>
                <w:szCs w:val="18"/>
              </w:rPr>
              <w:t>品牌拥有者；</w:t>
            </w:r>
          </w:p>
          <w:p>
            <w:pPr>
              <w:pStyle w:val="175"/>
              <w:rPr>
                <w:sz w:val="18"/>
                <w:szCs w:val="18"/>
              </w:rPr>
            </w:pPr>
            <w:r>
              <w:rPr>
                <w:rFonts w:hint="eastAsia"/>
                <w:sz w:val="18"/>
                <w:szCs w:val="18"/>
              </w:rPr>
              <w:t>供应商；</w:t>
            </w:r>
          </w:p>
          <w:p>
            <w:pPr>
              <w:pStyle w:val="175"/>
              <w:rPr>
                <w:sz w:val="18"/>
                <w:szCs w:val="18"/>
              </w:rPr>
            </w:pPr>
            <w:r>
              <w:rPr>
                <w:rFonts w:hint="eastAsia"/>
                <w:sz w:val="18"/>
                <w:szCs w:val="18"/>
              </w:rPr>
              <w:t>生产商；</w:t>
            </w:r>
          </w:p>
          <w:p>
            <w:pPr>
              <w:pStyle w:val="175"/>
              <w:rPr>
                <w:sz w:val="18"/>
                <w:szCs w:val="18"/>
              </w:rPr>
            </w:pPr>
            <w:r>
              <w:rPr>
                <w:rFonts w:hint="eastAsia"/>
                <w:sz w:val="18"/>
                <w:szCs w:val="18"/>
              </w:rPr>
              <w:t>专业实验室；</w:t>
            </w:r>
          </w:p>
          <w:p>
            <w:pPr>
              <w:pStyle w:val="175"/>
              <w:rPr>
                <w:sz w:val="18"/>
                <w:szCs w:val="18"/>
              </w:rPr>
            </w:pPr>
            <w:r>
              <w:rPr>
                <w:rFonts w:hint="eastAsia"/>
                <w:sz w:val="18"/>
                <w:szCs w:val="18"/>
              </w:rPr>
              <w:t>政府监管部门；</w:t>
            </w:r>
          </w:p>
          <w:p>
            <w:pPr>
              <w:pStyle w:val="175"/>
              <w:rPr>
                <w:sz w:val="18"/>
                <w:szCs w:val="18"/>
              </w:rPr>
            </w:pPr>
            <w:r>
              <w:rPr>
                <w:rFonts w:hint="eastAsia"/>
                <w:sz w:val="18"/>
                <w:szCs w:val="18"/>
              </w:rPr>
              <w:t>市场监管和消费者保护团体</w:t>
            </w:r>
          </w:p>
        </w:tc>
        <w:tc>
          <w:tcPr>
            <w:tcW w:w="1252" w:type="dxa"/>
            <w:tcBorders>
              <w:top w:val="single" w:color="auto" w:sz="8" w:space="0"/>
              <w:bottom w:val="single" w:color="auto" w:sz="8" w:space="0"/>
            </w:tcBorders>
            <w:shd w:val="clear" w:color="auto" w:fill="auto"/>
            <w:vAlign w:val="center"/>
          </w:tcPr>
          <w:p>
            <w:pPr>
              <w:pStyle w:val="179"/>
              <w:rPr>
                <w:b/>
                <w:szCs w:val="18"/>
              </w:rPr>
            </w:pPr>
            <w:r>
              <w:t>必选</w:t>
            </w:r>
          </w:p>
        </w:tc>
        <w:tc>
          <w:tcPr>
            <w:tcW w:w="1875"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9374" w:type="dxa"/>
            <w:gridSpan w:val="5"/>
            <w:tcBorders>
              <w:top w:val="single" w:color="auto" w:sz="8" w:space="0"/>
              <w:bottom w:val="single" w:color="auto" w:sz="8" w:space="0"/>
            </w:tcBorders>
            <w:shd w:val="clear" w:color="auto" w:fill="auto"/>
            <w:vAlign w:val="center"/>
          </w:tcPr>
          <w:p>
            <w:pPr>
              <w:pStyle w:val="179"/>
              <w:jc w:val="left"/>
              <w:rPr>
                <w:b/>
              </w:rPr>
            </w:pPr>
            <w:r>
              <w:rPr>
                <w:rFonts w:hint="eastAsia"/>
              </w:rPr>
              <w:t>　5．物流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5</w:t>
            </w:r>
            <w:r>
              <w:t>.1</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是否采用标识代码对收到的、需要追溯的货物进行标识</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应在收到的货物包装上印有标识代码，若无法直接附在货物包装上，则至少附在包装容器上或者随附文件上</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w:t>
            </w: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适用于分批离散收货的企业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5</w:t>
            </w:r>
            <w:r>
              <w:t>.2</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是否采用GS1 GSIN对收到的、需要追溯的货物进行标识</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应在收到的货物包装上采用GS1 GSIN进行标识，若无法直接附在货物包装上，则至少附在包装容器上或者随附文件上</w:t>
            </w:r>
          </w:p>
        </w:tc>
        <w:tc>
          <w:tcPr>
            <w:tcW w:w="1252" w:type="dxa"/>
            <w:tcBorders>
              <w:top w:val="single" w:color="auto" w:sz="8" w:space="0"/>
              <w:bottom w:val="single" w:color="auto" w:sz="8" w:space="0"/>
            </w:tcBorders>
            <w:shd w:val="clear" w:color="auto" w:fill="auto"/>
            <w:vAlign w:val="center"/>
          </w:tcPr>
          <w:p>
            <w:pPr>
              <w:pStyle w:val="179"/>
            </w:pPr>
            <w:r>
              <w:rPr>
                <w:rFonts w:hint="eastAsia"/>
              </w:rPr>
              <w:t>可选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适用于按GS1标准进行托盘运输批量收货的企业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5</w:t>
            </w:r>
            <w:r>
              <w:t>.3</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是否采用标识代码对收到的物流单元进行标识</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应在收到的物流单元包装上印有标识代码，若无法直接附在货物包装上，则至少附在包装容器上或者随附文件上</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w:t>
            </w: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适用于有条件与上游发货企业采用统一标识代码的企业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5</w:t>
            </w:r>
            <w:r>
              <w:t>.4</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是否采用SSCC编码的GS1-128码或EPC/RFID标签对收到的物流单元进行标识</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应在收到的物流单元包装上采用SSCC编码的GS1-128码或EPC/RFID标签进行标识，若无法直接附在货物外包装上，则至少附在包装容器上或者随附文件上</w:t>
            </w:r>
          </w:p>
        </w:tc>
        <w:tc>
          <w:tcPr>
            <w:tcW w:w="1252" w:type="dxa"/>
            <w:tcBorders>
              <w:top w:val="single" w:color="auto" w:sz="8" w:space="0"/>
              <w:bottom w:val="single" w:color="auto" w:sz="8" w:space="0"/>
            </w:tcBorders>
            <w:shd w:val="clear" w:color="auto" w:fill="auto"/>
            <w:vAlign w:val="center"/>
          </w:tcPr>
          <w:p>
            <w:pPr>
              <w:pStyle w:val="179"/>
            </w:pPr>
            <w:r>
              <w:rPr>
                <w:rFonts w:hint="eastAsia"/>
              </w:rPr>
              <w:t>可选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适用于按GS1标准进行托盘运输批量收货的企业</w:t>
            </w:r>
          </w:p>
        </w:tc>
      </w:tr>
    </w:tbl>
    <w:p>
      <w:pPr>
        <w:pStyle w:val="57"/>
        <w:ind w:firstLine="420"/>
        <w:jc w:val="center"/>
      </w:pPr>
      <w:r>
        <w:rPr>
          <w:rFonts w:hint="eastAsia"/>
        </w:rPr>
        <w:t>表</w:t>
      </w:r>
      <w:r>
        <w:t>1</w:t>
      </w:r>
      <w:r>
        <w:rPr>
          <w:rFonts w:hint="eastAsia"/>
        </w:rPr>
        <w:t xml:space="preserve"> 控制点及一致性准则清单（续）</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003"/>
        <w:gridCol w:w="1842"/>
        <w:gridCol w:w="3402"/>
        <w:gridCol w:w="1252"/>
        <w:gridCol w:w="18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rPr>
                <w:b/>
              </w:rPr>
            </w:pPr>
            <w:r>
              <w:rPr>
                <w:rFonts w:hint="eastAsia"/>
                <w:b/>
              </w:rPr>
              <w:t>编号</w:t>
            </w:r>
          </w:p>
        </w:tc>
        <w:tc>
          <w:tcPr>
            <w:tcW w:w="1842" w:type="dxa"/>
            <w:tcBorders>
              <w:top w:val="single" w:color="auto" w:sz="8" w:space="0"/>
              <w:bottom w:val="single" w:color="auto" w:sz="8" w:space="0"/>
            </w:tcBorders>
            <w:shd w:val="clear" w:color="auto" w:fill="auto"/>
            <w:vAlign w:val="center"/>
          </w:tcPr>
          <w:p>
            <w:pPr>
              <w:pStyle w:val="179"/>
              <w:rPr>
                <w:b/>
              </w:rPr>
            </w:pPr>
            <w:r>
              <w:rPr>
                <w:rFonts w:hint="eastAsia"/>
                <w:b/>
              </w:rPr>
              <w:t>控制点</w:t>
            </w:r>
          </w:p>
        </w:tc>
        <w:tc>
          <w:tcPr>
            <w:tcW w:w="3402" w:type="dxa"/>
            <w:tcBorders>
              <w:top w:val="single" w:color="auto" w:sz="8" w:space="0"/>
              <w:bottom w:val="single" w:color="auto" w:sz="8" w:space="0"/>
            </w:tcBorders>
            <w:shd w:val="clear" w:color="auto" w:fill="auto"/>
            <w:vAlign w:val="center"/>
          </w:tcPr>
          <w:p>
            <w:pPr>
              <w:pStyle w:val="179"/>
              <w:rPr>
                <w:b/>
              </w:rPr>
            </w:pPr>
            <w:r>
              <w:rPr>
                <w:rFonts w:hint="eastAsia"/>
                <w:b/>
              </w:rPr>
              <w:t>一致性准则</w:t>
            </w:r>
          </w:p>
        </w:tc>
        <w:tc>
          <w:tcPr>
            <w:tcW w:w="1252" w:type="dxa"/>
            <w:tcBorders>
              <w:top w:val="single" w:color="auto" w:sz="8" w:space="0"/>
              <w:bottom w:val="single" w:color="auto" w:sz="8" w:space="0"/>
            </w:tcBorders>
            <w:shd w:val="clear" w:color="auto" w:fill="auto"/>
            <w:vAlign w:val="center"/>
          </w:tcPr>
          <w:p>
            <w:pPr>
              <w:pStyle w:val="179"/>
              <w:rPr>
                <w:b/>
              </w:rPr>
            </w:pPr>
            <w:r>
              <w:rPr>
                <w:rFonts w:hint="eastAsia"/>
                <w:b/>
              </w:rPr>
              <w:t>级别</w:t>
            </w:r>
          </w:p>
        </w:tc>
        <w:tc>
          <w:tcPr>
            <w:tcW w:w="1875" w:type="dxa"/>
            <w:tcBorders>
              <w:top w:val="single" w:color="auto" w:sz="8" w:space="0"/>
              <w:bottom w:val="single" w:color="auto" w:sz="8" w:space="0"/>
            </w:tcBorders>
            <w:shd w:val="clear" w:color="auto" w:fill="auto"/>
            <w:vAlign w:val="center"/>
          </w:tcPr>
          <w:p>
            <w:pPr>
              <w:pStyle w:val="179"/>
              <w:rPr>
                <w:b/>
              </w:rPr>
            </w:pPr>
            <w:r>
              <w:rPr>
                <w:rFonts w:hint="eastAsia"/>
                <w:b/>
              </w:rPr>
              <w:t>适用条件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5</w:t>
            </w:r>
            <w:r>
              <w:t>.5</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所收到的贸易项目上是否附带有GS1数据载体</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应在收到的贸易项目包装、包装容器上或者随附文件上附带有GS1数据载体</w:t>
            </w:r>
          </w:p>
        </w:tc>
        <w:tc>
          <w:tcPr>
            <w:tcW w:w="1252" w:type="dxa"/>
            <w:tcBorders>
              <w:top w:val="single" w:color="auto" w:sz="8" w:space="0"/>
              <w:bottom w:val="single" w:color="auto" w:sz="8" w:space="0"/>
            </w:tcBorders>
            <w:shd w:val="clear" w:color="auto" w:fill="auto"/>
            <w:vAlign w:val="center"/>
          </w:tcPr>
          <w:p>
            <w:pPr>
              <w:pStyle w:val="179"/>
            </w:pP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5</w:t>
            </w:r>
            <w:r>
              <w:t>.6</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半成品（收到或配送的）上，是否标有标识代码、产品批次号或序列号</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应在所有库存的半成品包装、包装容器上或者随附文件上，标有标识代码、产品批次号或序列号</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w:t>
            </w: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适用于生产过程中有半成品的企业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1084"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5</w:t>
            </w:r>
            <w:r>
              <w:t>.7</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配送的、需要追溯的货运单元，是否采用GSIN进行物理标识</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应在配送的、需要追溯的货运单元包装、包装容器上或者随附文件上，附以GS1-128码标识的GSIN</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w:t>
            </w: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适用于加入GS1编码体系的组织或单位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1398"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5</w:t>
            </w:r>
            <w:r>
              <w:t>.8</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是否采用SSCC编码的GS1-128码或EPC/RFID标签对所配送的物流单元进行标识</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应在所配送的物流单元上附上采用SSCC编码的GS1-128码或EPC/RFID标签。若无法直接附在物流单元上，则至少在包装容器上或者随附文件上附带</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w:t>
            </w: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rPr>
              <w:t>　适用于有条件按固定规格进行货运物流配送的企业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5</w:t>
            </w:r>
            <w:r>
              <w:t>.9</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所配送的贸易项目上是否直接附带GS1数据载体</w:t>
            </w:r>
          </w:p>
        </w:tc>
        <w:tc>
          <w:tcPr>
            <w:tcW w:w="3402"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应在配送的贸易项目包装、包装容器上或者随附文件上附带有GS1数据载体。符合GS1标准的数据载体有：</w:t>
            </w:r>
          </w:p>
          <w:p>
            <w:pPr>
              <w:pStyle w:val="175"/>
              <w:numPr>
                <w:ilvl w:val="0"/>
                <w:numId w:val="49"/>
              </w:numPr>
              <w:rPr>
                <w:sz w:val="18"/>
                <w:szCs w:val="18"/>
              </w:rPr>
            </w:pPr>
            <w:r>
              <w:rPr>
                <w:rFonts w:hint="eastAsia"/>
                <w:sz w:val="18"/>
                <w:szCs w:val="18"/>
              </w:rPr>
              <w:t>对于通过POS结算的贸易项目：EAN-13，EAN-8，UPC-A，UPC-E，GS1 DataBar，GS1 DataMatrix， EPC/RFID标签；</w:t>
            </w:r>
          </w:p>
          <w:p>
            <w:pPr>
              <w:pStyle w:val="175"/>
            </w:pPr>
            <w:r>
              <w:rPr>
                <w:rFonts w:hint="eastAsia"/>
                <w:sz w:val="18"/>
                <w:szCs w:val="18"/>
              </w:rPr>
              <w:t>对于不通过POS结算的贸易项目（一批贸易项目，如“箱”）：EAN-13，ITF-14，GS1-128，GS1 DataMatrix，GS1 DataBar，EPC/RFID标签</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w:t>
            </w: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适用于加入GS1编码体系的组织或单位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1482"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5</w:t>
            </w:r>
            <w:r>
              <w:t>.10</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是否采用生产批次号、序列号或SGTIN对所配送的贸易项目进行标识</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应在所配送的贸易项目包装、包装容器上或者随附文件上采用生产批次号、序列号或者SGTIN进行标识</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w:t>
            </w: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适用于有条件采用自动识别技术进行智能物流管理的企业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1756"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5</w:t>
            </w:r>
            <w:r>
              <w:t>.11</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从原材料、产品、供应、包装直到将贸易项目送到消费者手中，现有的流程图是否反应了生产运作流程</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现有的流程图应涉及贸易项目的整个环节，包括：原材料、产品、供应、包装直到将贸易项目送到消费者手中</w:t>
            </w:r>
          </w:p>
        </w:tc>
        <w:tc>
          <w:tcPr>
            <w:tcW w:w="1252" w:type="dxa"/>
            <w:tcBorders>
              <w:top w:val="single" w:color="auto" w:sz="8" w:space="0"/>
              <w:bottom w:val="single" w:color="auto" w:sz="8" w:space="0"/>
            </w:tcBorders>
            <w:shd w:val="clear" w:color="auto" w:fill="auto"/>
            <w:vAlign w:val="center"/>
          </w:tcPr>
          <w:p>
            <w:pPr>
              <w:pStyle w:val="179"/>
            </w:pP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881"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5</w:t>
            </w:r>
            <w:r>
              <w:t>.12</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是否有内部发起追溯请求的流程图</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现有的流程图应将供应链中有可能用于实施追溯的信息相连</w:t>
            </w:r>
          </w:p>
        </w:tc>
        <w:tc>
          <w:tcPr>
            <w:tcW w:w="1252" w:type="dxa"/>
            <w:tcBorders>
              <w:top w:val="single" w:color="auto" w:sz="8" w:space="0"/>
              <w:bottom w:val="single" w:color="auto" w:sz="8" w:space="0"/>
            </w:tcBorders>
            <w:shd w:val="clear" w:color="auto" w:fill="auto"/>
            <w:vAlign w:val="center"/>
          </w:tcPr>
          <w:p>
            <w:pPr>
              <w:pStyle w:val="179"/>
              <w:rPr>
                <w:b/>
              </w:rPr>
            </w:pP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rPr>
              <w:t>　适用</w:t>
            </w:r>
          </w:p>
        </w:tc>
      </w:tr>
    </w:tbl>
    <w:p>
      <w:pPr>
        <w:pStyle w:val="57"/>
        <w:ind w:firstLine="420"/>
        <w:jc w:val="center"/>
      </w:pPr>
      <w:r>
        <w:rPr>
          <w:rFonts w:hint="eastAsia"/>
        </w:rPr>
        <w:t>表</w:t>
      </w:r>
      <w:r>
        <w:t>1</w:t>
      </w:r>
      <w:r>
        <w:rPr>
          <w:rFonts w:hint="eastAsia"/>
        </w:rPr>
        <w:t xml:space="preserve"> 控制点及一致性准则清单（续）</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003"/>
        <w:gridCol w:w="1842"/>
        <w:gridCol w:w="3402"/>
        <w:gridCol w:w="1252"/>
        <w:gridCol w:w="18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rPr>
                <w:b/>
              </w:rPr>
            </w:pPr>
            <w:r>
              <w:rPr>
                <w:rFonts w:hint="eastAsia"/>
                <w:b/>
              </w:rPr>
              <w:t>编号</w:t>
            </w:r>
          </w:p>
        </w:tc>
        <w:tc>
          <w:tcPr>
            <w:tcW w:w="1842" w:type="dxa"/>
            <w:tcBorders>
              <w:top w:val="single" w:color="auto" w:sz="8" w:space="0"/>
              <w:bottom w:val="single" w:color="auto" w:sz="8" w:space="0"/>
            </w:tcBorders>
            <w:shd w:val="clear" w:color="auto" w:fill="auto"/>
            <w:vAlign w:val="center"/>
          </w:tcPr>
          <w:p>
            <w:pPr>
              <w:pStyle w:val="179"/>
              <w:rPr>
                <w:b/>
              </w:rPr>
            </w:pPr>
            <w:r>
              <w:rPr>
                <w:rFonts w:hint="eastAsia"/>
                <w:b/>
              </w:rPr>
              <w:t>控制点</w:t>
            </w:r>
          </w:p>
        </w:tc>
        <w:tc>
          <w:tcPr>
            <w:tcW w:w="3402" w:type="dxa"/>
            <w:tcBorders>
              <w:top w:val="single" w:color="auto" w:sz="8" w:space="0"/>
              <w:bottom w:val="single" w:color="auto" w:sz="8" w:space="0"/>
            </w:tcBorders>
            <w:shd w:val="clear" w:color="auto" w:fill="auto"/>
            <w:vAlign w:val="center"/>
          </w:tcPr>
          <w:p>
            <w:pPr>
              <w:pStyle w:val="179"/>
              <w:rPr>
                <w:b/>
              </w:rPr>
            </w:pPr>
            <w:r>
              <w:rPr>
                <w:rFonts w:hint="eastAsia"/>
                <w:b/>
              </w:rPr>
              <w:t>一致性准则</w:t>
            </w:r>
          </w:p>
        </w:tc>
        <w:tc>
          <w:tcPr>
            <w:tcW w:w="1252" w:type="dxa"/>
            <w:tcBorders>
              <w:top w:val="single" w:color="auto" w:sz="8" w:space="0"/>
              <w:bottom w:val="single" w:color="auto" w:sz="8" w:space="0"/>
            </w:tcBorders>
            <w:shd w:val="clear" w:color="auto" w:fill="auto"/>
            <w:vAlign w:val="center"/>
          </w:tcPr>
          <w:p>
            <w:pPr>
              <w:pStyle w:val="179"/>
              <w:rPr>
                <w:b/>
              </w:rPr>
            </w:pPr>
            <w:r>
              <w:rPr>
                <w:rFonts w:hint="eastAsia"/>
                <w:b/>
              </w:rPr>
              <w:t>级别</w:t>
            </w:r>
          </w:p>
        </w:tc>
        <w:tc>
          <w:tcPr>
            <w:tcW w:w="1875" w:type="dxa"/>
            <w:tcBorders>
              <w:top w:val="single" w:color="auto" w:sz="8" w:space="0"/>
              <w:bottom w:val="single" w:color="auto" w:sz="8" w:space="0"/>
            </w:tcBorders>
            <w:shd w:val="clear" w:color="auto" w:fill="auto"/>
            <w:vAlign w:val="center"/>
          </w:tcPr>
          <w:p>
            <w:pPr>
              <w:pStyle w:val="179"/>
              <w:rPr>
                <w:b/>
              </w:rPr>
            </w:pPr>
            <w:r>
              <w:rPr>
                <w:rFonts w:hint="eastAsia"/>
                <w:b/>
              </w:rPr>
              <w:t>适用条件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9374" w:type="dxa"/>
            <w:gridSpan w:val="5"/>
            <w:tcBorders>
              <w:top w:val="single" w:color="auto" w:sz="8" w:space="0"/>
              <w:bottom w:val="single" w:color="auto" w:sz="8" w:space="0"/>
            </w:tcBorders>
            <w:shd w:val="clear" w:color="auto" w:fill="auto"/>
            <w:vAlign w:val="center"/>
          </w:tcPr>
          <w:p>
            <w:pPr>
              <w:pStyle w:val="179"/>
              <w:jc w:val="left"/>
              <w:rPr>
                <w:b/>
              </w:rPr>
            </w:pPr>
            <w:r>
              <w:rPr>
                <w:rFonts w:hint="eastAsia"/>
              </w:rPr>
              <w:t>　6．信息要求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6</w:t>
            </w:r>
            <w:r>
              <w:t>.1</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对于收到的、所有需要追溯的货运单元或物流单元的信息，是否形成相关记录</w:t>
            </w:r>
          </w:p>
        </w:tc>
        <w:tc>
          <w:tcPr>
            <w:tcW w:w="3402"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在一个或多个系统文件（电子或纸质）中，对于收到的每一个追溯货运单元或物流单元，应至少记录如下信息：</w:t>
            </w:r>
          </w:p>
          <w:p>
            <w:pPr>
              <w:pStyle w:val="175"/>
              <w:numPr>
                <w:ilvl w:val="0"/>
                <w:numId w:val="50"/>
              </w:numPr>
              <w:rPr>
                <w:sz w:val="18"/>
                <w:szCs w:val="18"/>
              </w:rPr>
            </w:pPr>
            <w:r>
              <w:rPr>
                <w:rFonts w:hint="eastAsia"/>
                <w:sz w:val="18"/>
                <w:szCs w:val="18"/>
              </w:rPr>
              <w:t>货运单元代码（货运单元）；</w:t>
            </w:r>
          </w:p>
          <w:p>
            <w:pPr>
              <w:pStyle w:val="175"/>
              <w:rPr>
                <w:sz w:val="18"/>
                <w:szCs w:val="18"/>
              </w:rPr>
            </w:pPr>
            <w:r>
              <w:rPr>
                <w:rFonts w:hint="eastAsia"/>
                <w:sz w:val="18"/>
                <w:szCs w:val="18"/>
              </w:rPr>
              <w:t>物流单元代码（物流单元）；</w:t>
            </w:r>
          </w:p>
          <w:p>
            <w:pPr>
              <w:pStyle w:val="175"/>
              <w:rPr>
                <w:sz w:val="18"/>
                <w:szCs w:val="18"/>
              </w:rPr>
            </w:pPr>
            <w:r>
              <w:rPr>
                <w:rFonts w:hint="eastAsia"/>
                <w:sz w:val="18"/>
                <w:szCs w:val="18"/>
              </w:rPr>
              <w:t>供应商标识（可用GLN）；</w:t>
            </w:r>
          </w:p>
          <w:p>
            <w:pPr>
              <w:pStyle w:val="175"/>
              <w:rPr>
                <w:sz w:val="18"/>
                <w:szCs w:val="18"/>
              </w:rPr>
            </w:pPr>
            <w:r>
              <w:rPr>
                <w:rFonts w:hint="eastAsia"/>
                <w:sz w:val="18"/>
                <w:szCs w:val="18"/>
              </w:rPr>
              <w:t>收货日期</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w:t>
            </w: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适用于收到的货物上明确附加了货运物流标识的企业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6</w:t>
            </w:r>
            <w:r>
              <w:t>.2</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对于收到的、所有全球唯一追溯货运单元或物流单元，是否形成相关记录</w:t>
            </w:r>
          </w:p>
        </w:tc>
        <w:tc>
          <w:tcPr>
            <w:tcW w:w="3402"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在一个或多个系统文件（电子或纸质）中，对于收到的的每一个全球唯一标识的货运单元或物流单元，应至少记录如下信息：</w:t>
            </w:r>
          </w:p>
          <w:p>
            <w:pPr>
              <w:pStyle w:val="175"/>
              <w:numPr>
                <w:ilvl w:val="0"/>
                <w:numId w:val="51"/>
              </w:numPr>
              <w:rPr>
                <w:sz w:val="18"/>
                <w:szCs w:val="18"/>
              </w:rPr>
            </w:pPr>
            <w:r>
              <w:rPr>
                <w:sz w:val="18"/>
                <w:szCs w:val="18"/>
              </w:rPr>
              <w:t>带</w:t>
            </w:r>
            <w:r>
              <w:rPr>
                <w:rFonts w:hint="eastAsia"/>
                <w:sz w:val="18"/>
                <w:szCs w:val="18"/>
              </w:rPr>
              <w:t>应用标识符402的全球货运单元代码（货运单元）；</w:t>
            </w:r>
          </w:p>
          <w:p>
            <w:pPr>
              <w:pStyle w:val="175"/>
              <w:rPr>
                <w:sz w:val="18"/>
                <w:szCs w:val="18"/>
              </w:rPr>
            </w:pPr>
            <w:r>
              <w:rPr>
                <w:rFonts w:hint="eastAsia"/>
                <w:sz w:val="18"/>
                <w:szCs w:val="18"/>
              </w:rPr>
              <w:t>SSCC（物流单元）；</w:t>
            </w:r>
          </w:p>
          <w:p>
            <w:pPr>
              <w:pStyle w:val="175"/>
              <w:rPr>
                <w:sz w:val="18"/>
                <w:szCs w:val="18"/>
              </w:rPr>
            </w:pPr>
            <w:r>
              <w:rPr>
                <w:rFonts w:hint="eastAsia"/>
                <w:sz w:val="18"/>
                <w:szCs w:val="18"/>
              </w:rPr>
              <w:t>供应商标识（可用GLN）；</w:t>
            </w:r>
          </w:p>
          <w:p>
            <w:pPr>
              <w:pStyle w:val="175"/>
              <w:rPr>
                <w:sz w:val="18"/>
                <w:szCs w:val="18"/>
              </w:rPr>
            </w:pPr>
            <w:r>
              <w:rPr>
                <w:rFonts w:hint="eastAsia"/>
                <w:sz w:val="18"/>
                <w:szCs w:val="18"/>
              </w:rPr>
              <w:t>收货日期</w:t>
            </w:r>
          </w:p>
        </w:tc>
        <w:tc>
          <w:tcPr>
            <w:tcW w:w="1252" w:type="dxa"/>
            <w:tcBorders>
              <w:top w:val="single" w:color="auto" w:sz="8" w:space="0"/>
              <w:bottom w:val="single" w:color="auto" w:sz="8" w:space="0"/>
            </w:tcBorders>
            <w:shd w:val="clear" w:color="auto" w:fill="auto"/>
            <w:vAlign w:val="center"/>
          </w:tcPr>
          <w:p>
            <w:pPr>
              <w:pStyle w:val="179"/>
            </w:pPr>
            <w:r>
              <w:rPr>
                <w:rFonts w:hint="eastAsia"/>
              </w:rPr>
              <w:t>可选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适用于收到的货物上明确附加了货运物流标识的企业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6</w:t>
            </w:r>
            <w:r>
              <w:t>.3</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收到的、所有需要追溯的贸易项目的交货信息，是否形成相关记录</w:t>
            </w:r>
          </w:p>
        </w:tc>
        <w:tc>
          <w:tcPr>
            <w:tcW w:w="3402"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收到的贸易项目的交货记录，应包含以下内容：</w:t>
            </w:r>
          </w:p>
          <w:p>
            <w:pPr>
              <w:pStyle w:val="175"/>
              <w:numPr>
                <w:ilvl w:val="0"/>
                <w:numId w:val="52"/>
              </w:numPr>
              <w:rPr>
                <w:sz w:val="18"/>
                <w:szCs w:val="18"/>
              </w:rPr>
            </w:pPr>
            <w:r>
              <w:rPr>
                <w:sz w:val="18"/>
                <w:szCs w:val="18"/>
              </w:rPr>
              <w:t>贸易</w:t>
            </w:r>
            <w:r>
              <w:rPr>
                <w:rFonts w:hint="eastAsia"/>
                <w:sz w:val="18"/>
                <w:szCs w:val="18"/>
              </w:rPr>
              <w:t>项目代码（可用GTIN）；</w:t>
            </w:r>
          </w:p>
          <w:p>
            <w:pPr>
              <w:pStyle w:val="175"/>
              <w:rPr>
                <w:sz w:val="18"/>
                <w:szCs w:val="18"/>
              </w:rPr>
            </w:pPr>
            <w:r>
              <w:rPr>
                <w:rFonts w:hint="eastAsia"/>
                <w:sz w:val="18"/>
                <w:szCs w:val="18"/>
              </w:rPr>
              <w:t>批次或序列号；</w:t>
            </w:r>
          </w:p>
          <w:p>
            <w:pPr>
              <w:pStyle w:val="175"/>
              <w:rPr>
                <w:sz w:val="18"/>
                <w:szCs w:val="18"/>
              </w:rPr>
            </w:pPr>
            <w:r>
              <w:rPr>
                <w:rFonts w:hint="eastAsia"/>
                <w:sz w:val="18"/>
                <w:szCs w:val="18"/>
              </w:rPr>
              <w:t>数量；</w:t>
            </w:r>
          </w:p>
          <w:p>
            <w:pPr>
              <w:pStyle w:val="175"/>
              <w:rPr>
                <w:sz w:val="18"/>
                <w:szCs w:val="18"/>
              </w:rPr>
            </w:pPr>
            <w:r>
              <w:rPr>
                <w:rFonts w:hint="eastAsia"/>
                <w:sz w:val="18"/>
                <w:szCs w:val="18"/>
              </w:rPr>
              <w:t>供应商信息（可用GLN）；</w:t>
            </w:r>
          </w:p>
          <w:p>
            <w:pPr>
              <w:pStyle w:val="175"/>
              <w:rPr>
                <w:sz w:val="18"/>
                <w:szCs w:val="18"/>
              </w:rPr>
            </w:pPr>
            <w:r>
              <w:rPr>
                <w:rFonts w:hint="eastAsia"/>
                <w:sz w:val="18"/>
                <w:szCs w:val="18"/>
              </w:rPr>
              <w:t>进口商信息（可用GLN）；</w:t>
            </w:r>
          </w:p>
          <w:p>
            <w:pPr>
              <w:pStyle w:val="175"/>
              <w:rPr>
                <w:sz w:val="18"/>
                <w:szCs w:val="18"/>
              </w:rPr>
            </w:pPr>
            <w:r>
              <w:rPr>
                <w:rFonts w:hint="eastAsia"/>
                <w:sz w:val="18"/>
                <w:szCs w:val="18"/>
              </w:rPr>
              <w:t>发货文件；</w:t>
            </w:r>
          </w:p>
          <w:p>
            <w:pPr>
              <w:pStyle w:val="175"/>
              <w:rPr>
                <w:sz w:val="18"/>
                <w:szCs w:val="18"/>
              </w:rPr>
            </w:pPr>
            <w:r>
              <w:rPr>
                <w:rFonts w:hint="eastAsia"/>
                <w:sz w:val="18"/>
                <w:szCs w:val="18"/>
              </w:rPr>
              <w:t>物流商信息（可用GLN），地址、电话、传真、电子邮箱；</w:t>
            </w:r>
          </w:p>
          <w:p>
            <w:pPr>
              <w:pStyle w:val="175"/>
              <w:rPr>
                <w:sz w:val="18"/>
                <w:szCs w:val="18"/>
              </w:rPr>
            </w:pPr>
            <w:r>
              <w:rPr>
                <w:rFonts w:hint="eastAsia"/>
                <w:sz w:val="18"/>
                <w:szCs w:val="18"/>
              </w:rPr>
              <w:t>收货日期</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w:t>
            </w: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适用于收到的货物上明确附加了货运物流标识的企业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1316"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6</w:t>
            </w:r>
            <w:r>
              <w:t>.4</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是否可以通过现有文件确认某一批次号或序列号的贸易项目已经或尚未配送给客户</w:t>
            </w:r>
          </w:p>
        </w:tc>
        <w:tc>
          <w:tcPr>
            <w:tcW w:w="3402"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文件应对某一批次号或序列号的贸易项目是否配送或尚未配送给客户进行记录</w:t>
            </w:r>
          </w:p>
        </w:tc>
        <w:tc>
          <w:tcPr>
            <w:tcW w:w="1252" w:type="dxa"/>
            <w:tcBorders>
              <w:top w:val="single" w:color="auto" w:sz="8" w:space="0"/>
              <w:bottom w:val="single" w:color="auto" w:sz="8" w:space="0"/>
            </w:tcBorders>
            <w:shd w:val="clear" w:color="auto" w:fill="auto"/>
            <w:vAlign w:val="center"/>
          </w:tcPr>
          <w:p>
            <w:pPr>
              <w:pStyle w:val="179"/>
              <w:rPr>
                <w:b/>
              </w:rPr>
            </w:pPr>
            <w:r>
              <w:t>必选</w:t>
            </w:r>
          </w:p>
        </w:tc>
        <w:tc>
          <w:tcPr>
            <w:tcW w:w="1875" w:type="dxa"/>
            <w:tcBorders>
              <w:top w:val="single" w:color="auto" w:sz="8" w:space="0"/>
              <w:bottom w:val="single" w:color="auto" w:sz="8" w:space="0"/>
            </w:tcBorders>
            <w:shd w:val="clear" w:color="auto" w:fill="auto"/>
            <w:vAlign w:val="center"/>
          </w:tcPr>
          <w:p>
            <w:pPr>
              <w:pStyle w:val="179"/>
              <w:jc w:val="left"/>
              <w:rPr>
                <w:b/>
              </w:rPr>
            </w:pPr>
            <w:r>
              <w:rPr>
                <w:rFonts w:hint="eastAsia"/>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2805"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6</w:t>
            </w:r>
            <w:r>
              <w:t>.5</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对于配送的每一个追溯货运单元或物流单元，是否形成相关记录</w:t>
            </w:r>
          </w:p>
        </w:tc>
        <w:tc>
          <w:tcPr>
            <w:tcW w:w="3402"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在一个或多个系统文件（电子或纸质）中，对于配送的每一个追溯货运单元或物流单元，应至少记录如下信息：</w:t>
            </w:r>
          </w:p>
          <w:p>
            <w:pPr>
              <w:pStyle w:val="175"/>
              <w:numPr>
                <w:ilvl w:val="0"/>
                <w:numId w:val="53"/>
              </w:numPr>
              <w:rPr>
                <w:sz w:val="18"/>
                <w:szCs w:val="18"/>
              </w:rPr>
            </w:pPr>
            <w:r>
              <w:rPr>
                <w:sz w:val="18"/>
                <w:szCs w:val="18"/>
              </w:rPr>
              <w:t>货运</w:t>
            </w:r>
            <w:r>
              <w:rPr>
                <w:rFonts w:hint="eastAsia"/>
                <w:sz w:val="18"/>
                <w:szCs w:val="18"/>
              </w:rPr>
              <w:t>单元代码（货运单元）；</w:t>
            </w:r>
          </w:p>
          <w:p>
            <w:pPr>
              <w:pStyle w:val="175"/>
              <w:rPr>
                <w:sz w:val="18"/>
                <w:szCs w:val="18"/>
              </w:rPr>
            </w:pPr>
            <w:r>
              <w:rPr>
                <w:rFonts w:hint="eastAsia"/>
                <w:sz w:val="18"/>
                <w:szCs w:val="18"/>
              </w:rPr>
              <w:t>物流单元代码（物流单元）；</w:t>
            </w:r>
          </w:p>
          <w:p>
            <w:pPr>
              <w:pStyle w:val="175"/>
              <w:rPr>
                <w:sz w:val="18"/>
                <w:szCs w:val="18"/>
              </w:rPr>
            </w:pPr>
            <w:r>
              <w:rPr>
                <w:rFonts w:hint="eastAsia"/>
                <w:sz w:val="18"/>
                <w:szCs w:val="18"/>
              </w:rPr>
              <w:t>批次或序列号；</w:t>
            </w:r>
          </w:p>
          <w:p>
            <w:pPr>
              <w:pStyle w:val="175"/>
              <w:rPr>
                <w:sz w:val="18"/>
                <w:szCs w:val="18"/>
              </w:rPr>
            </w:pPr>
            <w:r>
              <w:rPr>
                <w:rFonts w:hint="eastAsia"/>
                <w:sz w:val="18"/>
                <w:szCs w:val="18"/>
              </w:rPr>
              <w:t>收货人标识（可用GLN）；</w:t>
            </w:r>
          </w:p>
          <w:p>
            <w:pPr>
              <w:pStyle w:val="175"/>
              <w:rPr>
                <w:sz w:val="18"/>
                <w:szCs w:val="18"/>
              </w:rPr>
            </w:pPr>
            <w:r>
              <w:rPr>
                <w:rFonts w:hint="eastAsia"/>
                <w:sz w:val="18"/>
                <w:szCs w:val="18"/>
              </w:rPr>
              <w:t>发货日期</w:t>
            </w:r>
          </w:p>
        </w:tc>
        <w:tc>
          <w:tcPr>
            <w:tcW w:w="1252" w:type="dxa"/>
            <w:tcBorders>
              <w:top w:val="single" w:color="auto" w:sz="8" w:space="0"/>
              <w:bottom w:val="single" w:color="auto" w:sz="8" w:space="0"/>
            </w:tcBorders>
            <w:shd w:val="clear" w:color="auto" w:fill="auto"/>
            <w:vAlign w:val="center"/>
          </w:tcPr>
          <w:p>
            <w:pPr>
              <w:pStyle w:val="179"/>
              <w:rPr>
                <w:b/>
              </w:rPr>
            </w:pPr>
            <w:r>
              <w:t>必选</w:t>
            </w:r>
          </w:p>
        </w:tc>
        <w:tc>
          <w:tcPr>
            <w:tcW w:w="1875" w:type="dxa"/>
            <w:tcBorders>
              <w:top w:val="single" w:color="auto" w:sz="8" w:space="0"/>
              <w:bottom w:val="single" w:color="auto" w:sz="8" w:space="0"/>
            </w:tcBorders>
            <w:shd w:val="clear" w:color="auto" w:fill="auto"/>
            <w:vAlign w:val="center"/>
          </w:tcPr>
          <w:p>
            <w:pPr>
              <w:pStyle w:val="179"/>
              <w:jc w:val="left"/>
              <w:rPr>
                <w:b/>
              </w:rPr>
            </w:pPr>
            <w:r>
              <w:rPr>
                <w:rFonts w:hint="eastAsia"/>
              </w:rPr>
              <w:t>　适用</w:t>
            </w:r>
          </w:p>
        </w:tc>
      </w:tr>
    </w:tbl>
    <w:p>
      <w:pPr>
        <w:pStyle w:val="57"/>
        <w:ind w:firstLine="420"/>
        <w:jc w:val="center"/>
      </w:pPr>
      <w:r>
        <w:rPr>
          <w:rFonts w:hint="eastAsia"/>
        </w:rPr>
        <w:t>表</w:t>
      </w:r>
      <w:r>
        <w:t>1</w:t>
      </w:r>
      <w:r>
        <w:rPr>
          <w:rFonts w:hint="eastAsia"/>
        </w:rPr>
        <w:t xml:space="preserve"> 控制点及一致性准则清单（续）</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003"/>
        <w:gridCol w:w="1842"/>
        <w:gridCol w:w="3402"/>
        <w:gridCol w:w="1252"/>
        <w:gridCol w:w="18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rPr>
                <w:b/>
              </w:rPr>
            </w:pPr>
            <w:r>
              <w:rPr>
                <w:rFonts w:hint="eastAsia"/>
                <w:b/>
              </w:rPr>
              <w:t>编号</w:t>
            </w:r>
          </w:p>
        </w:tc>
        <w:tc>
          <w:tcPr>
            <w:tcW w:w="1842" w:type="dxa"/>
            <w:tcBorders>
              <w:top w:val="single" w:color="auto" w:sz="8" w:space="0"/>
              <w:bottom w:val="single" w:color="auto" w:sz="8" w:space="0"/>
            </w:tcBorders>
            <w:shd w:val="clear" w:color="auto" w:fill="auto"/>
            <w:vAlign w:val="center"/>
          </w:tcPr>
          <w:p>
            <w:pPr>
              <w:pStyle w:val="179"/>
              <w:rPr>
                <w:b/>
              </w:rPr>
            </w:pPr>
            <w:r>
              <w:rPr>
                <w:rFonts w:hint="eastAsia"/>
                <w:b/>
              </w:rPr>
              <w:t>控制点</w:t>
            </w:r>
          </w:p>
        </w:tc>
        <w:tc>
          <w:tcPr>
            <w:tcW w:w="3402" w:type="dxa"/>
            <w:tcBorders>
              <w:top w:val="single" w:color="auto" w:sz="8" w:space="0"/>
              <w:bottom w:val="single" w:color="auto" w:sz="8" w:space="0"/>
            </w:tcBorders>
            <w:shd w:val="clear" w:color="auto" w:fill="auto"/>
            <w:vAlign w:val="center"/>
          </w:tcPr>
          <w:p>
            <w:pPr>
              <w:pStyle w:val="179"/>
              <w:rPr>
                <w:b/>
              </w:rPr>
            </w:pPr>
            <w:r>
              <w:rPr>
                <w:rFonts w:hint="eastAsia"/>
                <w:b/>
              </w:rPr>
              <w:t>一致性准则</w:t>
            </w:r>
          </w:p>
        </w:tc>
        <w:tc>
          <w:tcPr>
            <w:tcW w:w="1252" w:type="dxa"/>
            <w:tcBorders>
              <w:top w:val="single" w:color="auto" w:sz="8" w:space="0"/>
              <w:bottom w:val="single" w:color="auto" w:sz="8" w:space="0"/>
            </w:tcBorders>
            <w:shd w:val="clear" w:color="auto" w:fill="auto"/>
            <w:vAlign w:val="center"/>
          </w:tcPr>
          <w:p>
            <w:pPr>
              <w:pStyle w:val="179"/>
              <w:rPr>
                <w:b/>
              </w:rPr>
            </w:pPr>
            <w:r>
              <w:rPr>
                <w:rFonts w:hint="eastAsia"/>
                <w:b/>
              </w:rPr>
              <w:t>级别</w:t>
            </w:r>
          </w:p>
        </w:tc>
        <w:tc>
          <w:tcPr>
            <w:tcW w:w="1875" w:type="dxa"/>
            <w:tcBorders>
              <w:top w:val="single" w:color="auto" w:sz="8" w:space="0"/>
              <w:bottom w:val="single" w:color="auto" w:sz="8" w:space="0"/>
            </w:tcBorders>
            <w:shd w:val="clear" w:color="auto" w:fill="auto"/>
            <w:vAlign w:val="center"/>
          </w:tcPr>
          <w:p>
            <w:pPr>
              <w:pStyle w:val="179"/>
              <w:rPr>
                <w:b/>
              </w:rPr>
            </w:pPr>
            <w:r>
              <w:rPr>
                <w:rFonts w:hint="eastAsia"/>
                <w:b/>
              </w:rPr>
              <w:t>适用条件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3308"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6</w:t>
            </w:r>
            <w:r>
              <w:t>.6</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对于配送的每一个全球唯一追溯货运单元或物流单元，是否形成相关记录</w:t>
            </w:r>
          </w:p>
        </w:tc>
        <w:tc>
          <w:tcPr>
            <w:tcW w:w="3402"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在一个或多个系统文件（电子或纸质）中，对于配送的每一个全球唯一标识的货运单元或物流单元，应至少记录如下信息：</w:t>
            </w:r>
          </w:p>
          <w:p>
            <w:pPr>
              <w:pStyle w:val="175"/>
              <w:numPr>
                <w:ilvl w:val="0"/>
                <w:numId w:val="54"/>
              </w:numPr>
              <w:rPr>
                <w:sz w:val="18"/>
                <w:szCs w:val="18"/>
              </w:rPr>
            </w:pPr>
            <w:r>
              <w:rPr>
                <w:sz w:val="18"/>
                <w:szCs w:val="18"/>
              </w:rPr>
              <w:t>带</w:t>
            </w:r>
            <w:r>
              <w:rPr>
                <w:rFonts w:hint="eastAsia"/>
                <w:sz w:val="18"/>
                <w:szCs w:val="18"/>
              </w:rPr>
              <w:t>应用标识符402的全球货运单元代码（货运单元）；</w:t>
            </w:r>
          </w:p>
          <w:p>
            <w:pPr>
              <w:pStyle w:val="175"/>
              <w:rPr>
                <w:sz w:val="18"/>
                <w:szCs w:val="18"/>
              </w:rPr>
            </w:pPr>
            <w:r>
              <w:rPr>
                <w:rFonts w:hint="eastAsia"/>
                <w:sz w:val="18"/>
                <w:szCs w:val="18"/>
              </w:rPr>
              <w:t>SSCC（物流单元）；</w:t>
            </w:r>
          </w:p>
          <w:p>
            <w:pPr>
              <w:pStyle w:val="175"/>
              <w:rPr>
                <w:sz w:val="18"/>
                <w:szCs w:val="18"/>
              </w:rPr>
            </w:pPr>
            <w:r>
              <w:rPr>
                <w:rFonts w:hint="eastAsia"/>
                <w:sz w:val="18"/>
                <w:szCs w:val="18"/>
              </w:rPr>
              <w:t>收货人标识（可用GLN）；</w:t>
            </w:r>
          </w:p>
          <w:p>
            <w:pPr>
              <w:pStyle w:val="175"/>
              <w:rPr>
                <w:sz w:val="18"/>
                <w:szCs w:val="18"/>
              </w:rPr>
            </w:pPr>
            <w:r>
              <w:rPr>
                <w:rFonts w:hint="eastAsia"/>
                <w:sz w:val="18"/>
                <w:szCs w:val="18"/>
              </w:rPr>
              <w:t>发货日期</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w:t>
            </w: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适用于有全球货运物流配送需求的企业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4375"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6</w:t>
            </w:r>
            <w:r>
              <w:t>.7</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对于配送的每一个追溯贸易项目，是否形成相关记录</w:t>
            </w:r>
          </w:p>
        </w:tc>
        <w:tc>
          <w:tcPr>
            <w:tcW w:w="3402"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在一个或多个系统文件（电子或纸质）中，对于配送的每一个追溯贸易项目，应至少记录如下信息：</w:t>
            </w:r>
          </w:p>
          <w:p>
            <w:pPr>
              <w:pStyle w:val="175"/>
              <w:numPr>
                <w:ilvl w:val="0"/>
                <w:numId w:val="55"/>
              </w:numPr>
              <w:rPr>
                <w:sz w:val="18"/>
                <w:szCs w:val="18"/>
              </w:rPr>
            </w:pPr>
            <w:r>
              <w:rPr>
                <w:rFonts w:hint="eastAsia"/>
                <w:sz w:val="18"/>
                <w:szCs w:val="18"/>
              </w:rPr>
              <w:t>贸易项目代码（可用GTIN）；</w:t>
            </w:r>
          </w:p>
          <w:p>
            <w:pPr>
              <w:pStyle w:val="175"/>
              <w:rPr>
                <w:sz w:val="18"/>
                <w:szCs w:val="18"/>
              </w:rPr>
            </w:pPr>
            <w:r>
              <w:rPr>
                <w:rFonts w:hint="eastAsia"/>
                <w:sz w:val="18"/>
                <w:szCs w:val="18"/>
              </w:rPr>
              <w:t>批次或序列号（可选）；</w:t>
            </w:r>
          </w:p>
          <w:p>
            <w:pPr>
              <w:pStyle w:val="175"/>
              <w:rPr>
                <w:sz w:val="18"/>
                <w:szCs w:val="18"/>
              </w:rPr>
            </w:pPr>
            <w:r>
              <w:rPr>
                <w:rFonts w:hint="eastAsia"/>
                <w:sz w:val="18"/>
                <w:szCs w:val="18"/>
              </w:rPr>
              <w:t>数量；</w:t>
            </w:r>
          </w:p>
          <w:p>
            <w:pPr>
              <w:pStyle w:val="175"/>
              <w:rPr>
                <w:sz w:val="18"/>
                <w:szCs w:val="18"/>
              </w:rPr>
            </w:pPr>
            <w:r>
              <w:rPr>
                <w:rFonts w:hint="eastAsia"/>
                <w:sz w:val="18"/>
                <w:szCs w:val="18"/>
              </w:rPr>
              <w:t>客户信息（可用GLN）；</w:t>
            </w:r>
          </w:p>
          <w:p>
            <w:pPr>
              <w:pStyle w:val="175"/>
              <w:rPr>
                <w:sz w:val="18"/>
                <w:szCs w:val="18"/>
              </w:rPr>
            </w:pPr>
            <w:r>
              <w:rPr>
                <w:rFonts w:hint="eastAsia"/>
                <w:sz w:val="18"/>
                <w:szCs w:val="18"/>
              </w:rPr>
              <w:t>收货人信息（可用GLN）；</w:t>
            </w:r>
          </w:p>
          <w:p>
            <w:pPr>
              <w:pStyle w:val="175"/>
              <w:rPr>
                <w:sz w:val="18"/>
                <w:szCs w:val="18"/>
              </w:rPr>
            </w:pPr>
            <w:r>
              <w:rPr>
                <w:rFonts w:hint="eastAsia"/>
                <w:sz w:val="18"/>
                <w:szCs w:val="18"/>
              </w:rPr>
              <w:t>物流商信息（可用GLN），地址、电话、传真、电子邮箱；</w:t>
            </w:r>
          </w:p>
          <w:p>
            <w:pPr>
              <w:pStyle w:val="175"/>
              <w:rPr>
                <w:sz w:val="18"/>
                <w:szCs w:val="18"/>
              </w:rPr>
            </w:pPr>
            <w:r>
              <w:rPr>
                <w:rFonts w:hint="eastAsia"/>
                <w:sz w:val="18"/>
                <w:szCs w:val="18"/>
              </w:rPr>
              <w:t>发货文件；</w:t>
            </w:r>
          </w:p>
          <w:p>
            <w:pPr>
              <w:pStyle w:val="175"/>
              <w:rPr>
                <w:sz w:val="18"/>
                <w:szCs w:val="18"/>
              </w:rPr>
            </w:pPr>
            <w:r>
              <w:rPr>
                <w:rFonts w:hint="eastAsia"/>
                <w:sz w:val="18"/>
                <w:szCs w:val="18"/>
              </w:rPr>
              <w:t>发货日期</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w:t>
            </w: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适用于有国内跨省、全国范围内跨组织或单位配送需求的企业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4934"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6</w:t>
            </w:r>
            <w:r>
              <w:t>.8</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对于配送的每一个全球唯一追溯贸易项目，是否形成相关记录</w:t>
            </w:r>
          </w:p>
        </w:tc>
        <w:tc>
          <w:tcPr>
            <w:tcW w:w="3402"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在一个或多个系统文件（电子或纸质）中，对于配送的每一个全球唯一标识的追溯贸易项目，应至少记录如下信息：</w:t>
            </w:r>
          </w:p>
          <w:p>
            <w:pPr>
              <w:pStyle w:val="175"/>
              <w:numPr>
                <w:ilvl w:val="0"/>
                <w:numId w:val="56"/>
              </w:numPr>
              <w:rPr>
                <w:sz w:val="18"/>
                <w:szCs w:val="18"/>
              </w:rPr>
            </w:pPr>
            <w:r>
              <w:rPr>
                <w:rFonts w:hint="eastAsia"/>
                <w:sz w:val="18"/>
                <w:szCs w:val="18"/>
              </w:rPr>
              <w:t>贸易项目代码GTIN（通过POS结算的贸易项目）；</w:t>
            </w:r>
          </w:p>
          <w:p>
            <w:pPr>
              <w:pStyle w:val="175"/>
              <w:rPr>
                <w:sz w:val="18"/>
                <w:szCs w:val="18"/>
              </w:rPr>
            </w:pPr>
            <w:r>
              <w:rPr>
                <w:rFonts w:hint="eastAsia"/>
                <w:sz w:val="18"/>
                <w:szCs w:val="18"/>
              </w:rPr>
              <w:t>批次或序列号；</w:t>
            </w:r>
          </w:p>
          <w:p>
            <w:pPr>
              <w:pStyle w:val="175"/>
              <w:rPr>
                <w:sz w:val="18"/>
                <w:szCs w:val="18"/>
              </w:rPr>
            </w:pPr>
            <w:r>
              <w:rPr>
                <w:rFonts w:hint="eastAsia"/>
                <w:sz w:val="18"/>
                <w:szCs w:val="18"/>
              </w:rPr>
              <w:t>数量；</w:t>
            </w:r>
          </w:p>
          <w:p>
            <w:pPr>
              <w:pStyle w:val="175"/>
              <w:rPr>
                <w:sz w:val="18"/>
                <w:szCs w:val="18"/>
              </w:rPr>
            </w:pPr>
            <w:r>
              <w:rPr>
                <w:rFonts w:hint="eastAsia"/>
                <w:sz w:val="18"/>
                <w:szCs w:val="18"/>
              </w:rPr>
              <w:t>客户信息（可用GLN）；</w:t>
            </w:r>
          </w:p>
          <w:p>
            <w:pPr>
              <w:pStyle w:val="175"/>
              <w:rPr>
                <w:sz w:val="18"/>
                <w:szCs w:val="18"/>
              </w:rPr>
            </w:pPr>
            <w:r>
              <w:rPr>
                <w:rFonts w:hint="eastAsia"/>
                <w:sz w:val="18"/>
                <w:szCs w:val="18"/>
              </w:rPr>
              <w:t>收货人信息（可用GLN）；</w:t>
            </w:r>
          </w:p>
          <w:p>
            <w:pPr>
              <w:pStyle w:val="175"/>
              <w:rPr>
                <w:sz w:val="18"/>
                <w:szCs w:val="18"/>
              </w:rPr>
            </w:pPr>
            <w:r>
              <w:rPr>
                <w:rFonts w:hint="eastAsia"/>
                <w:sz w:val="18"/>
                <w:szCs w:val="18"/>
              </w:rPr>
              <w:t>物流商信息（可用GLN），地址、电话、传真、电子邮箱；</w:t>
            </w:r>
          </w:p>
          <w:p>
            <w:pPr>
              <w:pStyle w:val="175"/>
              <w:rPr>
                <w:sz w:val="18"/>
                <w:szCs w:val="18"/>
              </w:rPr>
            </w:pPr>
            <w:r>
              <w:rPr>
                <w:rFonts w:hint="eastAsia"/>
                <w:sz w:val="18"/>
                <w:szCs w:val="18"/>
              </w:rPr>
              <w:t>发货文件；</w:t>
            </w:r>
          </w:p>
          <w:p>
            <w:pPr>
              <w:pStyle w:val="175"/>
              <w:rPr>
                <w:sz w:val="18"/>
                <w:szCs w:val="18"/>
              </w:rPr>
            </w:pPr>
            <w:r>
              <w:rPr>
                <w:rFonts w:hint="eastAsia"/>
                <w:sz w:val="18"/>
                <w:szCs w:val="18"/>
              </w:rPr>
              <w:t>发货日期</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w:t>
            </w: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适用于有全球配送需求的企业</w:t>
            </w:r>
          </w:p>
        </w:tc>
      </w:tr>
    </w:tbl>
    <w:p>
      <w:pPr>
        <w:pStyle w:val="57"/>
        <w:ind w:firstLine="420"/>
        <w:jc w:val="center"/>
      </w:pPr>
      <w:r>
        <w:rPr>
          <w:rFonts w:hint="eastAsia"/>
        </w:rPr>
        <w:t>表</w:t>
      </w:r>
      <w:r>
        <w:t>1</w:t>
      </w:r>
      <w:r>
        <w:rPr>
          <w:rFonts w:hint="eastAsia"/>
        </w:rPr>
        <w:t xml:space="preserve"> 控制点及一致性准则清单（续）</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003"/>
        <w:gridCol w:w="1842"/>
        <w:gridCol w:w="3402"/>
        <w:gridCol w:w="1252"/>
        <w:gridCol w:w="18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rPr>
                <w:b/>
              </w:rPr>
            </w:pPr>
            <w:r>
              <w:rPr>
                <w:rFonts w:hint="eastAsia"/>
                <w:b/>
              </w:rPr>
              <w:t>编号</w:t>
            </w:r>
          </w:p>
        </w:tc>
        <w:tc>
          <w:tcPr>
            <w:tcW w:w="1842" w:type="dxa"/>
            <w:tcBorders>
              <w:top w:val="single" w:color="auto" w:sz="8" w:space="0"/>
              <w:bottom w:val="single" w:color="auto" w:sz="8" w:space="0"/>
            </w:tcBorders>
            <w:shd w:val="clear" w:color="auto" w:fill="auto"/>
            <w:vAlign w:val="center"/>
          </w:tcPr>
          <w:p>
            <w:pPr>
              <w:pStyle w:val="179"/>
              <w:rPr>
                <w:b/>
              </w:rPr>
            </w:pPr>
            <w:r>
              <w:rPr>
                <w:rFonts w:hint="eastAsia"/>
                <w:b/>
              </w:rPr>
              <w:t>控制点</w:t>
            </w:r>
          </w:p>
        </w:tc>
        <w:tc>
          <w:tcPr>
            <w:tcW w:w="3402" w:type="dxa"/>
            <w:tcBorders>
              <w:top w:val="single" w:color="auto" w:sz="8" w:space="0"/>
              <w:bottom w:val="single" w:color="auto" w:sz="8" w:space="0"/>
            </w:tcBorders>
            <w:shd w:val="clear" w:color="auto" w:fill="auto"/>
            <w:vAlign w:val="center"/>
          </w:tcPr>
          <w:p>
            <w:pPr>
              <w:pStyle w:val="179"/>
              <w:rPr>
                <w:b/>
              </w:rPr>
            </w:pPr>
            <w:r>
              <w:rPr>
                <w:rFonts w:hint="eastAsia"/>
                <w:b/>
              </w:rPr>
              <w:t>一致性准则</w:t>
            </w:r>
          </w:p>
        </w:tc>
        <w:tc>
          <w:tcPr>
            <w:tcW w:w="1252" w:type="dxa"/>
            <w:tcBorders>
              <w:top w:val="single" w:color="auto" w:sz="8" w:space="0"/>
              <w:bottom w:val="single" w:color="auto" w:sz="8" w:space="0"/>
            </w:tcBorders>
            <w:shd w:val="clear" w:color="auto" w:fill="auto"/>
            <w:vAlign w:val="center"/>
          </w:tcPr>
          <w:p>
            <w:pPr>
              <w:pStyle w:val="179"/>
              <w:rPr>
                <w:b/>
              </w:rPr>
            </w:pPr>
            <w:r>
              <w:rPr>
                <w:rFonts w:hint="eastAsia"/>
                <w:b/>
              </w:rPr>
              <w:t>级别</w:t>
            </w:r>
          </w:p>
        </w:tc>
        <w:tc>
          <w:tcPr>
            <w:tcW w:w="1875" w:type="dxa"/>
            <w:tcBorders>
              <w:top w:val="single" w:color="auto" w:sz="8" w:space="0"/>
              <w:bottom w:val="single" w:color="auto" w:sz="8" w:space="0"/>
            </w:tcBorders>
            <w:shd w:val="clear" w:color="auto" w:fill="auto"/>
            <w:vAlign w:val="center"/>
          </w:tcPr>
          <w:p>
            <w:pPr>
              <w:pStyle w:val="179"/>
              <w:rPr>
                <w:b/>
              </w:rPr>
            </w:pPr>
            <w:r>
              <w:rPr>
                <w:rFonts w:hint="eastAsia"/>
                <w:b/>
              </w:rPr>
              <w:t>适用条件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6851"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6</w:t>
            </w:r>
            <w:r>
              <w:t>.9</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能否把各层级的输入和输出信息联系起来（一对多，多对一，多对多）</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可通过以下文档信息将输入和输出信息联系起来：</w:t>
            </w:r>
          </w:p>
          <w:p>
            <w:pPr>
              <w:pStyle w:val="175"/>
              <w:numPr>
                <w:ilvl w:val="0"/>
                <w:numId w:val="57"/>
              </w:numPr>
              <w:rPr>
                <w:sz w:val="18"/>
                <w:szCs w:val="18"/>
              </w:rPr>
            </w:pPr>
            <w:r>
              <w:rPr>
                <w:rFonts w:hint="eastAsia"/>
                <w:sz w:val="18"/>
                <w:szCs w:val="18"/>
              </w:rPr>
              <w:t>每个物流单元的标识信息（如托盘号，供应商标识）能够和该物流单元内所装贸易项目的生产批次号或序列号联系起来；</w:t>
            </w:r>
          </w:p>
          <w:p>
            <w:pPr>
              <w:pStyle w:val="175"/>
              <w:rPr>
                <w:sz w:val="18"/>
                <w:szCs w:val="18"/>
              </w:rPr>
            </w:pPr>
            <w:r>
              <w:rPr>
                <w:rFonts w:hint="eastAsia"/>
                <w:sz w:val="18"/>
                <w:szCs w:val="18"/>
              </w:rPr>
              <w:t>每个贸易项目的生产批次号或序列号信息（如产品代码，最佳食用日期）与贸易项目性状改变关联（如制造日期、时间）；</w:t>
            </w:r>
          </w:p>
          <w:p>
            <w:pPr>
              <w:pStyle w:val="175"/>
              <w:rPr>
                <w:sz w:val="18"/>
                <w:szCs w:val="18"/>
              </w:rPr>
            </w:pPr>
            <w:r>
              <w:rPr>
                <w:rFonts w:hint="eastAsia"/>
                <w:sz w:val="18"/>
                <w:szCs w:val="18"/>
              </w:rPr>
              <w:t>每个收到的贸易项目的生产批次号或序列号信息（如箱码）与物流单元（如托盘号），货运信息（如货运标识）和配送的贸易项目的生产批次或序列号对应的信息（如产品数量，发货日期，地点名称）关联；</w:t>
            </w:r>
          </w:p>
          <w:p>
            <w:pPr>
              <w:pStyle w:val="175"/>
            </w:pPr>
            <w:r>
              <w:rPr>
                <w:rFonts w:hint="eastAsia"/>
                <w:sz w:val="18"/>
                <w:szCs w:val="18"/>
              </w:rPr>
              <w:t>每个配送的物流单元内所装贸易项目的生产批次号或序列号信息会与交付的物流单元和货物关联</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有条件必选</w:t>
            </w:r>
          </w:p>
        </w:tc>
        <w:tc>
          <w:tcPr>
            <w:tcW w:w="1875" w:type="dxa"/>
            <w:tcBorders>
              <w:top w:val="single" w:color="auto" w:sz="8" w:space="0"/>
              <w:bottom w:val="single" w:color="auto" w:sz="8" w:space="0"/>
            </w:tcBorders>
            <w:shd w:val="clear" w:color="auto" w:fill="auto"/>
            <w:vAlign w:val="center"/>
          </w:tcPr>
          <w:p>
            <w:pPr>
              <w:pStyle w:val="179"/>
              <w:jc w:val="left"/>
              <w:rPr>
                <w:rFonts w:hAnsi="宋体"/>
              </w:rPr>
            </w:pPr>
            <w:r>
              <w:rPr>
                <w:rFonts w:hint="eastAsia" w:hAnsi="宋体"/>
              </w:rPr>
              <w:t>　适用于有条件获取多包装层级配送编码信息的大型企业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3518"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6</w:t>
            </w:r>
            <w:r>
              <w:t>.10</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是否可以将本组织或单位内的物流单元与该物流单元内所装贸易项目的生产批次号或序列号通过全球唯一标识代码联系起来</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可通过全球唯一标识代码将输出信息联系起来：</w:t>
            </w:r>
          </w:p>
          <w:p>
            <w:pPr>
              <w:pStyle w:val="175"/>
              <w:numPr>
                <w:ilvl w:val="0"/>
                <w:numId w:val="58"/>
              </w:numPr>
              <w:rPr>
                <w:sz w:val="18"/>
                <w:szCs w:val="18"/>
              </w:rPr>
            </w:pPr>
            <w:r>
              <w:rPr>
                <w:rFonts w:hint="eastAsia"/>
                <w:sz w:val="18"/>
                <w:szCs w:val="18"/>
              </w:rPr>
              <w:t>每一个配送的物流单元的SSCC要和物流单元内所装贸易项目的GTIN、生产批次号或序列号信息关联；</w:t>
            </w:r>
          </w:p>
          <w:p>
            <w:pPr>
              <w:pStyle w:val="175"/>
              <w:numPr>
                <w:ilvl w:val="0"/>
                <w:numId w:val="58"/>
              </w:numPr>
            </w:pPr>
            <w:r>
              <w:rPr>
                <w:rFonts w:hint="eastAsia"/>
                <w:sz w:val="18"/>
                <w:szCs w:val="18"/>
              </w:rPr>
              <w:t>每一个配送的贸易项目的GTIN和生产批次号或序列号信息要和对应的物流单元的SSCC关联</w:t>
            </w:r>
          </w:p>
        </w:tc>
        <w:tc>
          <w:tcPr>
            <w:tcW w:w="1252" w:type="dxa"/>
            <w:tcBorders>
              <w:top w:val="single" w:color="auto" w:sz="8" w:space="0"/>
              <w:bottom w:val="single" w:color="auto" w:sz="8" w:space="0"/>
            </w:tcBorders>
            <w:shd w:val="clear" w:color="auto" w:fill="auto"/>
            <w:vAlign w:val="center"/>
          </w:tcPr>
          <w:p>
            <w:pPr>
              <w:pStyle w:val="179"/>
              <w:rPr>
                <w:b/>
              </w:rPr>
            </w:pPr>
            <w:r>
              <w:rPr>
                <w:rFonts w:hint="eastAsia"/>
              </w:rPr>
              <w:t>有条件必选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适用于有条件获取多包装层级配送编码信息的专业全球配送大型企业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2221"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6</w:t>
            </w:r>
            <w:r>
              <w:t>.11</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是否可以通过现有文件将每个已配送的贸易项目的生产批次号或序列号与到达顾客目的地的物流单元联系起来</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文件记录了每个相关已配送的贸易项目的生产批次号和对应的顾客号码、目的地和发货日期</w:t>
            </w:r>
          </w:p>
        </w:tc>
        <w:tc>
          <w:tcPr>
            <w:tcW w:w="1252" w:type="dxa"/>
            <w:tcBorders>
              <w:top w:val="single" w:color="auto" w:sz="8" w:space="0"/>
              <w:bottom w:val="single" w:color="auto" w:sz="8" w:space="0"/>
            </w:tcBorders>
            <w:shd w:val="clear" w:color="auto" w:fill="auto"/>
            <w:vAlign w:val="center"/>
          </w:tcPr>
          <w:p>
            <w:pPr>
              <w:pStyle w:val="179"/>
              <w:rPr>
                <w:b/>
              </w:rPr>
            </w:pPr>
            <w:r>
              <w:rPr>
                <w:rFonts w:hint="eastAsia"/>
              </w:rPr>
              <w:t>有条件必选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适用于有条件获取配送货物的批次或序列号的中大型企业</w:t>
            </w:r>
          </w:p>
        </w:tc>
      </w:tr>
    </w:tbl>
    <w:p>
      <w:pPr>
        <w:pStyle w:val="57"/>
        <w:ind w:firstLine="420"/>
        <w:jc w:val="center"/>
      </w:pPr>
      <w:r>
        <w:rPr>
          <w:rFonts w:hint="eastAsia"/>
        </w:rPr>
        <w:t>表</w:t>
      </w:r>
      <w:r>
        <w:t>1</w:t>
      </w:r>
      <w:r>
        <w:rPr>
          <w:rFonts w:hint="eastAsia"/>
        </w:rPr>
        <w:t xml:space="preserve"> 控制点及一致性准则清单（续）</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003"/>
        <w:gridCol w:w="1842"/>
        <w:gridCol w:w="3402"/>
        <w:gridCol w:w="1252"/>
        <w:gridCol w:w="18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blHeader/>
          <w:jc w:val="center"/>
        </w:trPr>
        <w:tc>
          <w:tcPr>
            <w:tcW w:w="1003" w:type="dxa"/>
            <w:tcBorders>
              <w:top w:val="single" w:color="auto" w:sz="8" w:space="0"/>
              <w:bottom w:val="single" w:color="auto" w:sz="8" w:space="0"/>
            </w:tcBorders>
            <w:shd w:val="clear" w:color="auto" w:fill="auto"/>
            <w:vAlign w:val="center"/>
          </w:tcPr>
          <w:p>
            <w:pPr>
              <w:pStyle w:val="179"/>
              <w:rPr>
                <w:b/>
              </w:rPr>
            </w:pPr>
            <w:r>
              <w:rPr>
                <w:rFonts w:hint="eastAsia"/>
                <w:b/>
              </w:rPr>
              <w:t>编号</w:t>
            </w:r>
          </w:p>
        </w:tc>
        <w:tc>
          <w:tcPr>
            <w:tcW w:w="1842" w:type="dxa"/>
            <w:tcBorders>
              <w:top w:val="single" w:color="auto" w:sz="8" w:space="0"/>
              <w:bottom w:val="single" w:color="auto" w:sz="8" w:space="0"/>
            </w:tcBorders>
            <w:shd w:val="clear" w:color="auto" w:fill="auto"/>
            <w:vAlign w:val="center"/>
          </w:tcPr>
          <w:p>
            <w:pPr>
              <w:pStyle w:val="179"/>
              <w:rPr>
                <w:b/>
              </w:rPr>
            </w:pPr>
            <w:r>
              <w:rPr>
                <w:rFonts w:hint="eastAsia"/>
                <w:b/>
              </w:rPr>
              <w:t>控制点</w:t>
            </w:r>
          </w:p>
        </w:tc>
        <w:tc>
          <w:tcPr>
            <w:tcW w:w="3402" w:type="dxa"/>
            <w:tcBorders>
              <w:top w:val="single" w:color="auto" w:sz="8" w:space="0"/>
              <w:bottom w:val="single" w:color="auto" w:sz="8" w:space="0"/>
            </w:tcBorders>
            <w:shd w:val="clear" w:color="auto" w:fill="auto"/>
            <w:vAlign w:val="center"/>
          </w:tcPr>
          <w:p>
            <w:pPr>
              <w:pStyle w:val="179"/>
              <w:rPr>
                <w:b/>
              </w:rPr>
            </w:pPr>
            <w:r>
              <w:rPr>
                <w:rFonts w:hint="eastAsia"/>
                <w:b/>
              </w:rPr>
              <w:t>一致性准则</w:t>
            </w:r>
          </w:p>
        </w:tc>
        <w:tc>
          <w:tcPr>
            <w:tcW w:w="1252" w:type="dxa"/>
            <w:tcBorders>
              <w:top w:val="single" w:color="auto" w:sz="8" w:space="0"/>
              <w:bottom w:val="single" w:color="auto" w:sz="8" w:space="0"/>
            </w:tcBorders>
            <w:shd w:val="clear" w:color="auto" w:fill="auto"/>
            <w:vAlign w:val="center"/>
          </w:tcPr>
          <w:p>
            <w:pPr>
              <w:pStyle w:val="179"/>
              <w:rPr>
                <w:b/>
              </w:rPr>
            </w:pPr>
            <w:r>
              <w:rPr>
                <w:rFonts w:hint="eastAsia"/>
                <w:b/>
              </w:rPr>
              <w:t>级别</w:t>
            </w:r>
          </w:p>
        </w:tc>
        <w:tc>
          <w:tcPr>
            <w:tcW w:w="1875" w:type="dxa"/>
            <w:tcBorders>
              <w:top w:val="single" w:color="auto" w:sz="8" w:space="0"/>
              <w:bottom w:val="single" w:color="auto" w:sz="8" w:space="0"/>
            </w:tcBorders>
            <w:shd w:val="clear" w:color="auto" w:fill="auto"/>
            <w:vAlign w:val="center"/>
          </w:tcPr>
          <w:p>
            <w:pPr>
              <w:pStyle w:val="179"/>
              <w:rPr>
                <w:b/>
              </w:rPr>
            </w:pPr>
            <w:r>
              <w:rPr>
                <w:rFonts w:hint="eastAsia"/>
                <w:b/>
              </w:rPr>
              <w:t>适用条件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5717"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6</w:t>
            </w:r>
            <w:r>
              <w:t>.12</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是否可以与贸易伙伴共享所配送的贸易项目的追溯信息，以满足追溯请求或商业需求</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文件可针对所配送贸易项目的每个批次号或序列号向贸易伙伴提供以下追溯信息：</w:t>
            </w:r>
          </w:p>
          <w:p>
            <w:pPr>
              <w:pStyle w:val="175"/>
              <w:numPr>
                <w:ilvl w:val="0"/>
                <w:numId w:val="59"/>
              </w:numPr>
              <w:rPr>
                <w:sz w:val="18"/>
                <w:szCs w:val="18"/>
              </w:rPr>
            </w:pPr>
            <w:r>
              <w:rPr>
                <w:rFonts w:hint="eastAsia"/>
                <w:sz w:val="18"/>
                <w:szCs w:val="18"/>
              </w:rPr>
              <w:t>贸易项目标识（可用GTIN）；</w:t>
            </w:r>
          </w:p>
          <w:p>
            <w:pPr>
              <w:pStyle w:val="175"/>
              <w:rPr>
                <w:sz w:val="18"/>
                <w:szCs w:val="18"/>
              </w:rPr>
            </w:pPr>
            <w:r>
              <w:rPr>
                <w:rFonts w:hint="eastAsia"/>
                <w:sz w:val="18"/>
                <w:szCs w:val="18"/>
              </w:rPr>
              <w:t>数量；</w:t>
            </w:r>
          </w:p>
          <w:p>
            <w:pPr>
              <w:pStyle w:val="175"/>
              <w:rPr>
                <w:sz w:val="18"/>
                <w:szCs w:val="18"/>
              </w:rPr>
            </w:pPr>
            <w:r>
              <w:rPr>
                <w:rFonts w:hint="eastAsia"/>
                <w:sz w:val="18"/>
                <w:szCs w:val="18"/>
              </w:rPr>
              <w:t>发货日期；</w:t>
            </w:r>
          </w:p>
          <w:p>
            <w:pPr>
              <w:pStyle w:val="175"/>
              <w:rPr>
                <w:sz w:val="18"/>
                <w:szCs w:val="18"/>
              </w:rPr>
            </w:pPr>
            <w:r>
              <w:rPr>
                <w:rFonts w:hint="eastAsia"/>
                <w:sz w:val="18"/>
                <w:szCs w:val="18"/>
              </w:rPr>
              <w:t>收到某一批次号或序列号的贸易项目的客户信息（可用GLN）；</w:t>
            </w:r>
          </w:p>
          <w:p>
            <w:pPr>
              <w:pStyle w:val="175"/>
              <w:rPr>
                <w:sz w:val="18"/>
                <w:szCs w:val="18"/>
              </w:rPr>
            </w:pPr>
            <w:r>
              <w:rPr>
                <w:rFonts w:hint="eastAsia"/>
                <w:sz w:val="18"/>
                <w:szCs w:val="18"/>
              </w:rPr>
              <w:t>发货物流商信息（可用GLN），地址、电话号码、传真号、电子邮箱；</w:t>
            </w:r>
          </w:p>
          <w:p>
            <w:pPr>
              <w:pStyle w:val="175"/>
              <w:rPr>
                <w:sz w:val="18"/>
                <w:szCs w:val="18"/>
              </w:rPr>
            </w:pPr>
            <w:r>
              <w:rPr>
                <w:rFonts w:hint="eastAsia"/>
                <w:sz w:val="18"/>
                <w:szCs w:val="18"/>
              </w:rPr>
              <w:t>发货文件；</w:t>
            </w:r>
          </w:p>
          <w:p>
            <w:pPr>
              <w:pStyle w:val="175"/>
              <w:rPr>
                <w:sz w:val="18"/>
                <w:szCs w:val="18"/>
              </w:rPr>
            </w:pPr>
            <w:r>
              <w:rPr>
                <w:rFonts w:hint="eastAsia"/>
                <w:sz w:val="18"/>
                <w:szCs w:val="18"/>
              </w:rPr>
              <w:t>上级供应商信息和供应的贸易项目的批次号或序列号；</w:t>
            </w:r>
          </w:p>
          <w:p>
            <w:pPr>
              <w:pStyle w:val="175"/>
              <w:rPr>
                <w:sz w:val="18"/>
                <w:szCs w:val="18"/>
              </w:rPr>
            </w:pPr>
            <w:r>
              <w:rPr>
                <w:rFonts w:hint="eastAsia"/>
                <w:sz w:val="18"/>
                <w:szCs w:val="18"/>
              </w:rPr>
              <w:t>某一批次号或序列号的贸易项目的收货日期；</w:t>
            </w:r>
          </w:p>
          <w:p>
            <w:pPr>
              <w:pStyle w:val="175"/>
            </w:pPr>
            <w:r>
              <w:rPr>
                <w:rFonts w:hint="eastAsia"/>
                <w:sz w:val="18"/>
                <w:szCs w:val="18"/>
              </w:rPr>
              <w:t>进货物流商（可用 GLN）、地址、电话号码、传真号、电子邮箱</w:t>
            </w:r>
          </w:p>
        </w:tc>
        <w:tc>
          <w:tcPr>
            <w:tcW w:w="1252" w:type="dxa"/>
            <w:tcBorders>
              <w:top w:val="single" w:color="auto" w:sz="8" w:space="0"/>
              <w:bottom w:val="single" w:color="auto" w:sz="8" w:space="0"/>
            </w:tcBorders>
            <w:shd w:val="clear" w:color="auto" w:fill="auto"/>
            <w:vAlign w:val="center"/>
          </w:tcPr>
          <w:p>
            <w:pPr>
              <w:pStyle w:val="179"/>
            </w:pPr>
            <w:r>
              <w:rPr>
                <w:rFonts w:hint="eastAsia"/>
              </w:rPr>
              <w:t>必选</w:t>
            </w:r>
          </w:p>
        </w:tc>
        <w:tc>
          <w:tcPr>
            <w:tcW w:w="1875" w:type="dxa"/>
            <w:tcBorders>
              <w:top w:val="single" w:color="auto" w:sz="8" w:space="0"/>
              <w:bottom w:val="single" w:color="auto" w:sz="8" w:space="0"/>
            </w:tcBorders>
            <w:shd w:val="clear" w:color="auto" w:fill="auto"/>
            <w:vAlign w:val="center"/>
          </w:tcPr>
          <w:p>
            <w:pPr>
              <w:pStyle w:val="179"/>
              <w:jc w:val="left"/>
              <w:rPr>
                <w:rFonts w:hAnsi="宋体"/>
              </w:rPr>
            </w:pPr>
            <w:r>
              <w:rPr>
                <w:rFonts w:hint="eastAsia"/>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1810"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6</w:t>
            </w:r>
            <w:r>
              <w:t>.13</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在贸易项目实物发运前，是否利用GS1电子文件“发货通知”向贸易伙伴发送贸易项目的信息</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在贸易项目实物发运前，向贸易伙伴发送包含配送产品信息的电子报文。GS1标准中是EANCOM或GS1 XML</w:t>
            </w:r>
          </w:p>
        </w:tc>
        <w:tc>
          <w:tcPr>
            <w:tcW w:w="1252" w:type="dxa"/>
            <w:tcBorders>
              <w:top w:val="single" w:color="auto" w:sz="8" w:space="0"/>
              <w:bottom w:val="single" w:color="auto" w:sz="8" w:space="0"/>
            </w:tcBorders>
            <w:shd w:val="clear" w:color="auto" w:fill="auto"/>
            <w:vAlign w:val="center"/>
          </w:tcPr>
          <w:p>
            <w:pPr>
              <w:pStyle w:val="179"/>
            </w:pPr>
            <w:r>
              <w:rPr>
                <w:rFonts w:hint="eastAsia"/>
              </w:rPr>
              <w:t>可选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适用于安装有符合GS1规范的软件系统的中大型企业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2831"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6</w:t>
            </w:r>
            <w:r>
              <w:t>.14</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消费者是否可以通过零售单元上的追溯标识方便的查询到该零售单元的主要追溯信息</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零售单元查询到的主要追溯信息应包括但不限于：</w:t>
            </w:r>
          </w:p>
          <w:p>
            <w:pPr>
              <w:pStyle w:val="175"/>
              <w:numPr>
                <w:ilvl w:val="0"/>
                <w:numId w:val="60"/>
              </w:numPr>
              <w:rPr>
                <w:sz w:val="18"/>
                <w:szCs w:val="18"/>
              </w:rPr>
            </w:pPr>
            <w:r>
              <w:rPr>
                <w:rFonts w:hint="eastAsia"/>
                <w:sz w:val="18"/>
                <w:szCs w:val="18"/>
              </w:rPr>
              <w:t>生产厂家；</w:t>
            </w:r>
          </w:p>
          <w:p>
            <w:pPr>
              <w:pStyle w:val="175"/>
              <w:rPr>
                <w:sz w:val="18"/>
                <w:szCs w:val="18"/>
              </w:rPr>
            </w:pPr>
            <w:r>
              <w:rPr>
                <w:rFonts w:hint="eastAsia"/>
                <w:sz w:val="18"/>
                <w:szCs w:val="18"/>
              </w:rPr>
              <w:t>生产批次号；</w:t>
            </w:r>
          </w:p>
          <w:p>
            <w:pPr>
              <w:pStyle w:val="175"/>
              <w:rPr>
                <w:sz w:val="18"/>
                <w:szCs w:val="18"/>
              </w:rPr>
            </w:pPr>
            <w:r>
              <w:rPr>
                <w:rFonts w:hint="eastAsia"/>
                <w:sz w:val="18"/>
                <w:szCs w:val="18"/>
              </w:rPr>
              <w:t>生产日期及保质期；</w:t>
            </w:r>
          </w:p>
          <w:p>
            <w:pPr>
              <w:pStyle w:val="175"/>
              <w:rPr>
                <w:sz w:val="18"/>
                <w:szCs w:val="18"/>
              </w:rPr>
            </w:pPr>
            <w:r>
              <w:rPr>
                <w:rFonts w:hint="eastAsia"/>
                <w:sz w:val="18"/>
                <w:szCs w:val="18"/>
              </w:rPr>
              <w:t>食品配料表；</w:t>
            </w:r>
          </w:p>
          <w:p>
            <w:pPr>
              <w:pStyle w:val="175"/>
              <w:rPr>
                <w:sz w:val="18"/>
                <w:szCs w:val="18"/>
              </w:rPr>
            </w:pPr>
            <w:r>
              <w:rPr>
                <w:rFonts w:hint="eastAsia"/>
                <w:sz w:val="18"/>
                <w:szCs w:val="18"/>
              </w:rPr>
              <w:t>质量证明信息；</w:t>
            </w:r>
          </w:p>
          <w:p>
            <w:pPr>
              <w:pStyle w:val="175"/>
            </w:pPr>
            <w:r>
              <w:rPr>
                <w:rFonts w:hint="eastAsia"/>
                <w:sz w:val="18"/>
                <w:szCs w:val="18"/>
              </w:rPr>
              <w:t>物流信息</w:t>
            </w:r>
          </w:p>
        </w:tc>
        <w:tc>
          <w:tcPr>
            <w:tcW w:w="1252" w:type="dxa"/>
            <w:tcBorders>
              <w:top w:val="single" w:color="auto" w:sz="8" w:space="0"/>
              <w:bottom w:val="single" w:color="auto" w:sz="8" w:space="0"/>
            </w:tcBorders>
            <w:shd w:val="clear" w:color="auto" w:fill="auto"/>
            <w:vAlign w:val="center"/>
          </w:tcPr>
          <w:p>
            <w:pPr>
              <w:pStyle w:val="179"/>
              <w:rPr>
                <w:b/>
              </w:rPr>
            </w:pPr>
            <w:r>
              <w:rPr>
                <w:rFonts w:hint="eastAsia"/>
              </w:rPr>
              <w:t>有条件必选</w:t>
            </w:r>
          </w:p>
        </w:tc>
        <w:tc>
          <w:tcPr>
            <w:tcW w:w="1875" w:type="dxa"/>
            <w:tcBorders>
              <w:top w:val="single" w:color="auto" w:sz="8" w:space="0"/>
              <w:bottom w:val="single" w:color="auto" w:sz="8" w:space="0"/>
            </w:tcBorders>
            <w:shd w:val="clear" w:color="auto" w:fill="auto"/>
            <w:vAlign w:val="center"/>
          </w:tcPr>
          <w:p>
            <w:pPr>
              <w:pStyle w:val="179"/>
              <w:jc w:val="left"/>
              <w:rPr>
                <w:b/>
              </w:rPr>
            </w:pPr>
            <w:r>
              <w:rPr>
                <w:rFonts w:hint="eastAsia" w:hAnsi="宋体"/>
              </w:rPr>
              <w:t>　适用于有条件使用符合GS1标准的第三方电子溯源系统企业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9374" w:type="dxa"/>
            <w:gridSpan w:val="5"/>
            <w:tcBorders>
              <w:top w:val="single" w:color="auto" w:sz="8" w:space="0"/>
              <w:bottom w:val="single" w:color="auto" w:sz="8" w:space="0"/>
            </w:tcBorders>
            <w:shd w:val="clear" w:color="auto" w:fill="auto"/>
            <w:vAlign w:val="center"/>
          </w:tcPr>
          <w:p>
            <w:pPr>
              <w:pStyle w:val="179"/>
              <w:jc w:val="left"/>
              <w:rPr>
                <w:rFonts w:hAnsi="宋体"/>
              </w:rPr>
            </w:pPr>
            <w:r>
              <w:rPr>
                <w:rFonts w:hint="eastAsia"/>
              </w:rPr>
              <w:t>　7．文件要求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1915"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7</w:t>
            </w:r>
            <w:r>
              <w:t>.1</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是否可以通过现有记录对从收到贸易项目到贸易项目交付给贸易伙伴所有流程进行确认</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相关记录和日志应能说明从收到贸易项目到贸易项目交付给贸易伙伴所有流程</w:t>
            </w:r>
          </w:p>
        </w:tc>
        <w:tc>
          <w:tcPr>
            <w:tcW w:w="1252" w:type="dxa"/>
            <w:tcBorders>
              <w:top w:val="single" w:color="auto" w:sz="8" w:space="0"/>
              <w:bottom w:val="single" w:color="auto" w:sz="8" w:space="0"/>
            </w:tcBorders>
            <w:shd w:val="clear" w:color="auto" w:fill="auto"/>
            <w:vAlign w:val="center"/>
          </w:tcPr>
          <w:p>
            <w:pPr>
              <w:pStyle w:val="179"/>
            </w:pPr>
            <w:r>
              <w:rPr>
                <w:rFonts w:hint="eastAsia"/>
              </w:rPr>
              <w:t>必选</w:t>
            </w:r>
          </w:p>
        </w:tc>
        <w:tc>
          <w:tcPr>
            <w:tcW w:w="1875" w:type="dxa"/>
            <w:tcBorders>
              <w:top w:val="single" w:color="auto" w:sz="8" w:space="0"/>
              <w:bottom w:val="single" w:color="auto" w:sz="8" w:space="0"/>
            </w:tcBorders>
            <w:shd w:val="clear" w:color="auto" w:fill="auto"/>
            <w:vAlign w:val="center"/>
          </w:tcPr>
          <w:p>
            <w:pPr>
              <w:pStyle w:val="179"/>
              <w:jc w:val="left"/>
              <w:rPr>
                <w:rFonts w:hAnsi="宋体"/>
              </w:rPr>
            </w:pPr>
            <w:r>
              <w:rPr>
                <w:rFonts w:hint="eastAsia"/>
              </w:rPr>
              <w:t>　适用</w:t>
            </w:r>
          </w:p>
        </w:tc>
      </w:tr>
    </w:tbl>
    <w:p>
      <w:pPr>
        <w:pStyle w:val="57"/>
        <w:ind w:firstLine="420"/>
        <w:jc w:val="center"/>
      </w:pPr>
      <w:r>
        <w:rPr>
          <w:rFonts w:hint="eastAsia"/>
        </w:rPr>
        <w:t>表</w:t>
      </w:r>
      <w:r>
        <w:t>1</w:t>
      </w:r>
      <w:r>
        <w:rPr>
          <w:rFonts w:hint="eastAsia"/>
        </w:rPr>
        <w:t xml:space="preserve"> 控制点及一致性准则清单（续）</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003"/>
        <w:gridCol w:w="1842"/>
        <w:gridCol w:w="3402"/>
        <w:gridCol w:w="1252"/>
        <w:gridCol w:w="18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rPr>
                <w:b/>
              </w:rPr>
            </w:pPr>
            <w:r>
              <w:rPr>
                <w:rFonts w:hint="eastAsia"/>
                <w:b/>
              </w:rPr>
              <w:t>编号</w:t>
            </w:r>
          </w:p>
        </w:tc>
        <w:tc>
          <w:tcPr>
            <w:tcW w:w="1842" w:type="dxa"/>
            <w:tcBorders>
              <w:top w:val="single" w:color="auto" w:sz="8" w:space="0"/>
              <w:bottom w:val="single" w:color="auto" w:sz="8" w:space="0"/>
            </w:tcBorders>
            <w:shd w:val="clear" w:color="auto" w:fill="auto"/>
            <w:vAlign w:val="center"/>
          </w:tcPr>
          <w:p>
            <w:pPr>
              <w:pStyle w:val="179"/>
              <w:rPr>
                <w:b/>
              </w:rPr>
            </w:pPr>
            <w:r>
              <w:rPr>
                <w:rFonts w:hint="eastAsia"/>
                <w:b/>
              </w:rPr>
              <w:t>控制点</w:t>
            </w:r>
          </w:p>
        </w:tc>
        <w:tc>
          <w:tcPr>
            <w:tcW w:w="3402" w:type="dxa"/>
            <w:tcBorders>
              <w:top w:val="single" w:color="auto" w:sz="8" w:space="0"/>
              <w:bottom w:val="single" w:color="auto" w:sz="8" w:space="0"/>
            </w:tcBorders>
            <w:shd w:val="clear" w:color="auto" w:fill="auto"/>
            <w:vAlign w:val="center"/>
          </w:tcPr>
          <w:p>
            <w:pPr>
              <w:pStyle w:val="179"/>
              <w:rPr>
                <w:b/>
              </w:rPr>
            </w:pPr>
            <w:r>
              <w:rPr>
                <w:rFonts w:hint="eastAsia"/>
                <w:b/>
              </w:rPr>
              <w:t>一致性准则</w:t>
            </w:r>
          </w:p>
        </w:tc>
        <w:tc>
          <w:tcPr>
            <w:tcW w:w="1252" w:type="dxa"/>
            <w:tcBorders>
              <w:top w:val="single" w:color="auto" w:sz="8" w:space="0"/>
              <w:bottom w:val="single" w:color="auto" w:sz="8" w:space="0"/>
            </w:tcBorders>
            <w:shd w:val="clear" w:color="auto" w:fill="auto"/>
            <w:vAlign w:val="center"/>
          </w:tcPr>
          <w:p>
            <w:pPr>
              <w:pStyle w:val="179"/>
              <w:rPr>
                <w:b/>
              </w:rPr>
            </w:pPr>
            <w:r>
              <w:rPr>
                <w:rFonts w:hint="eastAsia"/>
                <w:b/>
              </w:rPr>
              <w:t>级别</w:t>
            </w:r>
          </w:p>
        </w:tc>
        <w:tc>
          <w:tcPr>
            <w:tcW w:w="1875" w:type="dxa"/>
            <w:tcBorders>
              <w:top w:val="single" w:color="auto" w:sz="8" w:space="0"/>
              <w:bottom w:val="single" w:color="auto" w:sz="8" w:space="0"/>
            </w:tcBorders>
            <w:shd w:val="clear" w:color="auto" w:fill="auto"/>
            <w:vAlign w:val="center"/>
          </w:tcPr>
          <w:p>
            <w:pPr>
              <w:pStyle w:val="179"/>
              <w:rPr>
                <w:b/>
              </w:rPr>
            </w:pPr>
            <w:r>
              <w:rPr>
                <w:rFonts w:hint="eastAsia"/>
                <w:b/>
              </w:rPr>
              <w:t>适用条件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7</w:t>
            </w:r>
            <w:r>
              <w:t>.2</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是否有追溯信息管理文件，如组织架构、职责和追溯系统功能</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相关文件说明追溯信息管理的组织架构、职责和追溯系统功能，包括但不限于：</w:t>
            </w:r>
          </w:p>
          <w:p>
            <w:pPr>
              <w:pStyle w:val="175"/>
              <w:numPr>
                <w:ilvl w:val="0"/>
                <w:numId w:val="61"/>
              </w:numPr>
              <w:rPr>
                <w:sz w:val="18"/>
                <w:szCs w:val="18"/>
              </w:rPr>
            </w:pPr>
            <w:r>
              <w:rPr>
                <w:rFonts w:hint="eastAsia"/>
                <w:sz w:val="18"/>
                <w:szCs w:val="18"/>
              </w:rPr>
              <w:t>组织架构；</w:t>
            </w:r>
          </w:p>
          <w:p>
            <w:pPr>
              <w:pStyle w:val="175"/>
              <w:rPr>
                <w:sz w:val="18"/>
                <w:szCs w:val="18"/>
              </w:rPr>
            </w:pPr>
            <w:r>
              <w:rPr>
                <w:rFonts w:hint="eastAsia"/>
                <w:sz w:val="18"/>
                <w:szCs w:val="18"/>
              </w:rPr>
              <w:t>关联性；</w:t>
            </w:r>
          </w:p>
          <w:p>
            <w:pPr>
              <w:pStyle w:val="175"/>
              <w:rPr>
                <w:sz w:val="18"/>
                <w:szCs w:val="18"/>
              </w:rPr>
            </w:pPr>
            <w:r>
              <w:rPr>
                <w:rFonts w:hint="eastAsia"/>
                <w:sz w:val="18"/>
                <w:szCs w:val="18"/>
              </w:rPr>
              <w:t>角色；</w:t>
            </w:r>
          </w:p>
          <w:p>
            <w:pPr>
              <w:pStyle w:val="175"/>
              <w:rPr>
                <w:sz w:val="18"/>
                <w:szCs w:val="18"/>
              </w:rPr>
            </w:pPr>
            <w:r>
              <w:rPr>
                <w:rFonts w:hint="eastAsia"/>
                <w:sz w:val="18"/>
                <w:szCs w:val="18"/>
              </w:rPr>
              <w:t>人员；</w:t>
            </w:r>
          </w:p>
          <w:p>
            <w:pPr>
              <w:pStyle w:val="175"/>
              <w:rPr>
                <w:sz w:val="18"/>
                <w:szCs w:val="18"/>
              </w:rPr>
            </w:pPr>
            <w:r>
              <w:rPr>
                <w:rFonts w:hint="eastAsia"/>
                <w:sz w:val="18"/>
                <w:szCs w:val="18"/>
              </w:rPr>
              <w:t>基础设施；</w:t>
            </w:r>
          </w:p>
          <w:p>
            <w:pPr>
              <w:pStyle w:val="175"/>
              <w:rPr>
                <w:sz w:val="18"/>
                <w:szCs w:val="18"/>
              </w:rPr>
            </w:pPr>
            <w:r>
              <w:rPr>
                <w:rFonts w:hint="eastAsia"/>
                <w:sz w:val="18"/>
                <w:szCs w:val="18"/>
              </w:rPr>
              <w:t>文件编制方法；</w:t>
            </w:r>
          </w:p>
          <w:p>
            <w:pPr>
              <w:pStyle w:val="175"/>
            </w:pPr>
            <w:r>
              <w:rPr>
                <w:rFonts w:hint="eastAsia"/>
                <w:sz w:val="18"/>
                <w:szCs w:val="18"/>
              </w:rPr>
              <w:t>所用软件（如使用）</w:t>
            </w:r>
          </w:p>
        </w:tc>
        <w:tc>
          <w:tcPr>
            <w:tcW w:w="1252" w:type="dxa"/>
            <w:tcBorders>
              <w:top w:val="single" w:color="auto" w:sz="8" w:space="0"/>
              <w:bottom w:val="single" w:color="auto" w:sz="8" w:space="0"/>
            </w:tcBorders>
            <w:shd w:val="clear" w:color="auto" w:fill="auto"/>
            <w:vAlign w:val="center"/>
          </w:tcPr>
          <w:p>
            <w:pPr>
              <w:pStyle w:val="179"/>
            </w:pPr>
            <w:r>
              <w:rPr>
                <w:rFonts w:hint="eastAsia"/>
              </w:rPr>
              <w:t>必选</w:t>
            </w:r>
          </w:p>
        </w:tc>
        <w:tc>
          <w:tcPr>
            <w:tcW w:w="1875" w:type="dxa"/>
            <w:tcBorders>
              <w:top w:val="single" w:color="auto" w:sz="8" w:space="0"/>
              <w:bottom w:val="single" w:color="auto" w:sz="8" w:space="0"/>
            </w:tcBorders>
            <w:shd w:val="clear" w:color="auto" w:fill="auto"/>
            <w:vAlign w:val="center"/>
          </w:tcPr>
          <w:p>
            <w:pPr>
              <w:pStyle w:val="179"/>
              <w:jc w:val="left"/>
              <w:rPr>
                <w:rFonts w:hAnsi="宋体"/>
              </w:rPr>
            </w:pPr>
            <w:r>
              <w:rPr>
                <w:rFonts w:hint="eastAsia"/>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7</w:t>
            </w:r>
            <w:r>
              <w:t>.3</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是否对贸易项目产品周期内的所有追溯文件进行归档记录，其记录信息是否至少保存产品保质期满后6个月；没有明确保质期的，保存期限不得少于2年</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所有记录都应根据追溯系统目标中的各项规定、标准或商业要求至少保存产品保质期满后6个月；没有明确保质期的，保存期限不得少于2年</w:t>
            </w:r>
          </w:p>
        </w:tc>
        <w:tc>
          <w:tcPr>
            <w:tcW w:w="1252" w:type="dxa"/>
            <w:tcBorders>
              <w:top w:val="single" w:color="auto" w:sz="8" w:space="0"/>
              <w:bottom w:val="single" w:color="auto" w:sz="8" w:space="0"/>
            </w:tcBorders>
            <w:shd w:val="clear" w:color="auto" w:fill="auto"/>
            <w:vAlign w:val="center"/>
          </w:tcPr>
          <w:p>
            <w:pPr>
              <w:pStyle w:val="179"/>
            </w:pPr>
            <w:r>
              <w:rPr>
                <w:rFonts w:hint="eastAsia"/>
              </w:rPr>
              <w:t>必选</w:t>
            </w:r>
          </w:p>
        </w:tc>
        <w:tc>
          <w:tcPr>
            <w:tcW w:w="1875" w:type="dxa"/>
            <w:tcBorders>
              <w:top w:val="single" w:color="auto" w:sz="8" w:space="0"/>
              <w:bottom w:val="single" w:color="auto" w:sz="8" w:space="0"/>
            </w:tcBorders>
            <w:shd w:val="clear" w:color="auto" w:fill="auto"/>
            <w:vAlign w:val="center"/>
          </w:tcPr>
          <w:p>
            <w:pPr>
              <w:pStyle w:val="179"/>
              <w:jc w:val="left"/>
              <w:rPr>
                <w:rFonts w:hAnsi="宋体"/>
              </w:rPr>
            </w:pPr>
            <w:r>
              <w:rPr>
                <w:rFonts w:hint="eastAsia"/>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7</w:t>
            </w:r>
            <w:r>
              <w:t>.4</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是否追溯系统中的所有文件保持最新（至少每年审查一次文件确认其有效性），反映当前的过程和程序</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当前的追溯过程用文件及时记录。确保文件反映了生产线上发生的所有情况</w:t>
            </w:r>
          </w:p>
        </w:tc>
        <w:tc>
          <w:tcPr>
            <w:tcW w:w="1252" w:type="dxa"/>
            <w:tcBorders>
              <w:top w:val="single" w:color="auto" w:sz="8" w:space="0"/>
              <w:bottom w:val="single" w:color="auto" w:sz="8" w:space="0"/>
            </w:tcBorders>
            <w:shd w:val="clear" w:color="auto" w:fill="auto"/>
            <w:vAlign w:val="center"/>
          </w:tcPr>
          <w:p>
            <w:pPr>
              <w:pStyle w:val="179"/>
            </w:pPr>
            <w:r>
              <w:rPr>
                <w:rFonts w:hint="eastAsia"/>
              </w:rPr>
              <w:t>必选</w:t>
            </w:r>
          </w:p>
        </w:tc>
        <w:tc>
          <w:tcPr>
            <w:tcW w:w="1875" w:type="dxa"/>
            <w:tcBorders>
              <w:top w:val="single" w:color="auto" w:sz="8" w:space="0"/>
              <w:bottom w:val="single" w:color="auto" w:sz="8" w:space="0"/>
            </w:tcBorders>
            <w:shd w:val="clear" w:color="auto" w:fill="auto"/>
            <w:vAlign w:val="center"/>
          </w:tcPr>
          <w:p>
            <w:pPr>
              <w:pStyle w:val="179"/>
              <w:jc w:val="left"/>
              <w:rPr>
                <w:rFonts w:hAnsi="宋体"/>
              </w:rPr>
            </w:pPr>
            <w:r>
              <w:rPr>
                <w:rFonts w:hint="eastAsia"/>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7</w:t>
            </w:r>
            <w:r>
              <w:t>.5</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追溯系统文件（追溯数据）是否受控，仅由被授权的人员编制</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设置受控区域，编制控制文件，对追溯数据记录、储存及管理</w:t>
            </w:r>
          </w:p>
        </w:tc>
        <w:tc>
          <w:tcPr>
            <w:tcW w:w="1252" w:type="dxa"/>
            <w:tcBorders>
              <w:top w:val="single" w:color="auto" w:sz="8" w:space="0"/>
              <w:bottom w:val="single" w:color="auto" w:sz="8" w:space="0"/>
            </w:tcBorders>
            <w:shd w:val="clear" w:color="auto" w:fill="auto"/>
            <w:vAlign w:val="center"/>
          </w:tcPr>
          <w:p>
            <w:pPr>
              <w:pStyle w:val="179"/>
            </w:pPr>
            <w:r>
              <w:rPr>
                <w:rFonts w:hint="eastAsia"/>
              </w:rPr>
              <w:t>推荐</w:t>
            </w:r>
          </w:p>
        </w:tc>
        <w:tc>
          <w:tcPr>
            <w:tcW w:w="1875" w:type="dxa"/>
            <w:tcBorders>
              <w:top w:val="single" w:color="auto" w:sz="8" w:space="0"/>
              <w:bottom w:val="single" w:color="auto" w:sz="8" w:space="0"/>
            </w:tcBorders>
            <w:shd w:val="clear" w:color="auto" w:fill="auto"/>
            <w:vAlign w:val="center"/>
          </w:tcPr>
          <w:p>
            <w:pPr>
              <w:pStyle w:val="179"/>
              <w:jc w:val="left"/>
              <w:rPr>
                <w:rFonts w:hAnsi="宋体"/>
              </w:rPr>
            </w:pPr>
            <w:r>
              <w:rPr>
                <w:rFonts w:hint="eastAsia"/>
              </w:rPr>
              <w:t>　</w:t>
            </w:r>
            <w:r>
              <w:rPr>
                <w:rFonts w:hint="eastAsia" w:hAnsi="宋体"/>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9374" w:type="dxa"/>
            <w:gridSpan w:val="5"/>
            <w:tcBorders>
              <w:top w:val="single" w:color="auto" w:sz="8" w:space="0"/>
              <w:bottom w:val="single" w:color="auto" w:sz="8" w:space="0"/>
            </w:tcBorders>
            <w:shd w:val="clear" w:color="auto" w:fill="auto"/>
            <w:vAlign w:val="center"/>
          </w:tcPr>
          <w:p>
            <w:pPr>
              <w:pStyle w:val="179"/>
              <w:jc w:val="both"/>
              <w:rPr>
                <w:b/>
              </w:rPr>
            </w:pPr>
            <w:r>
              <w:rPr>
                <w:rFonts w:hint="eastAsia"/>
              </w:rPr>
              <w:t>　8．</w:t>
            </w:r>
            <w:r>
              <w:t>结构和职责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1130"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8</w:t>
            </w:r>
            <w:r>
              <w:t>.1</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是否在文件中确定了现有的追溯部门及其作用和职责</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应建立追溯部门，而且要确定部门的作用和职责并编制相关文件</w:t>
            </w:r>
          </w:p>
        </w:tc>
        <w:tc>
          <w:tcPr>
            <w:tcW w:w="1252" w:type="dxa"/>
            <w:tcBorders>
              <w:top w:val="single" w:color="auto" w:sz="8" w:space="0"/>
              <w:bottom w:val="single" w:color="auto" w:sz="8" w:space="0"/>
            </w:tcBorders>
            <w:shd w:val="clear" w:color="auto" w:fill="auto"/>
            <w:vAlign w:val="center"/>
          </w:tcPr>
          <w:p>
            <w:pPr>
              <w:pStyle w:val="179"/>
            </w:pPr>
            <w:r>
              <w:rPr>
                <w:rFonts w:hint="eastAsia"/>
              </w:rPr>
              <w:t>必选</w:t>
            </w:r>
          </w:p>
        </w:tc>
        <w:tc>
          <w:tcPr>
            <w:tcW w:w="1875" w:type="dxa"/>
            <w:tcBorders>
              <w:top w:val="single" w:color="auto" w:sz="8" w:space="0"/>
              <w:bottom w:val="single" w:color="auto" w:sz="8" w:space="0"/>
            </w:tcBorders>
            <w:shd w:val="clear" w:color="auto" w:fill="auto"/>
            <w:vAlign w:val="center"/>
          </w:tcPr>
          <w:p>
            <w:pPr>
              <w:pStyle w:val="179"/>
              <w:jc w:val="left"/>
              <w:rPr>
                <w:rFonts w:hAnsi="宋体"/>
              </w:rPr>
            </w:pPr>
            <w:r>
              <w:rPr>
                <w:rFonts w:hint="eastAsia"/>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1455"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8</w:t>
            </w:r>
            <w:r>
              <w:t>.2</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追溯团队是否拥有必要的资源来维持追溯系统？资源包括人力资源、信息技术和预算。</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应确保有项目经费预算</w:t>
            </w:r>
          </w:p>
        </w:tc>
        <w:tc>
          <w:tcPr>
            <w:tcW w:w="1252" w:type="dxa"/>
            <w:tcBorders>
              <w:top w:val="single" w:color="auto" w:sz="8" w:space="0"/>
              <w:bottom w:val="single" w:color="auto" w:sz="8" w:space="0"/>
            </w:tcBorders>
            <w:shd w:val="clear" w:color="auto" w:fill="auto"/>
            <w:vAlign w:val="center"/>
          </w:tcPr>
          <w:p>
            <w:pPr>
              <w:pStyle w:val="179"/>
            </w:pPr>
            <w:r>
              <w:rPr>
                <w:rFonts w:hint="eastAsia"/>
              </w:rPr>
              <w:t>必选</w:t>
            </w:r>
          </w:p>
        </w:tc>
        <w:tc>
          <w:tcPr>
            <w:tcW w:w="1875" w:type="dxa"/>
            <w:tcBorders>
              <w:top w:val="single" w:color="auto" w:sz="8" w:space="0"/>
              <w:bottom w:val="single" w:color="auto" w:sz="8" w:space="0"/>
            </w:tcBorders>
            <w:shd w:val="clear" w:color="auto" w:fill="auto"/>
            <w:vAlign w:val="center"/>
          </w:tcPr>
          <w:p>
            <w:pPr>
              <w:pStyle w:val="179"/>
              <w:jc w:val="left"/>
              <w:rPr>
                <w:rFonts w:hAnsi="宋体"/>
              </w:rPr>
            </w:pPr>
            <w:r>
              <w:rPr>
                <w:rFonts w:hint="eastAsia"/>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1492" w:hRule="atLeast"/>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8</w:t>
            </w:r>
            <w:r>
              <w:t>.3</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工作人员是否了解职能相关的追溯程序及指示，并且知道在何时、何地以及如何使用它们</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工作人员应了解职能相关的追溯程序及指示</w:t>
            </w:r>
          </w:p>
        </w:tc>
        <w:tc>
          <w:tcPr>
            <w:tcW w:w="1252" w:type="dxa"/>
            <w:tcBorders>
              <w:top w:val="single" w:color="auto" w:sz="8" w:space="0"/>
              <w:bottom w:val="single" w:color="auto" w:sz="8" w:space="0"/>
            </w:tcBorders>
            <w:shd w:val="clear" w:color="auto" w:fill="auto"/>
            <w:vAlign w:val="center"/>
          </w:tcPr>
          <w:p>
            <w:pPr>
              <w:pStyle w:val="179"/>
            </w:pPr>
            <w:r>
              <w:rPr>
                <w:rFonts w:hint="eastAsia"/>
              </w:rPr>
              <w:t>必选</w:t>
            </w:r>
          </w:p>
        </w:tc>
        <w:tc>
          <w:tcPr>
            <w:tcW w:w="1875" w:type="dxa"/>
            <w:tcBorders>
              <w:top w:val="single" w:color="auto" w:sz="8" w:space="0"/>
              <w:bottom w:val="single" w:color="auto" w:sz="8" w:space="0"/>
            </w:tcBorders>
            <w:shd w:val="clear" w:color="auto" w:fill="auto"/>
            <w:vAlign w:val="center"/>
          </w:tcPr>
          <w:p>
            <w:pPr>
              <w:pStyle w:val="179"/>
              <w:jc w:val="left"/>
              <w:rPr>
                <w:rFonts w:hAnsi="宋体"/>
              </w:rPr>
            </w:pPr>
            <w:r>
              <w:rPr>
                <w:rFonts w:hint="eastAsia"/>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9374" w:type="dxa"/>
            <w:gridSpan w:val="5"/>
            <w:tcBorders>
              <w:top w:val="single" w:color="auto" w:sz="8" w:space="0"/>
              <w:bottom w:val="single" w:color="auto" w:sz="8" w:space="0"/>
            </w:tcBorders>
            <w:shd w:val="clear" w:color="auto" w:fill="auto"/>
            <w:vAlign w:val="center"/>
          </w:tcPr>
          <w:p>
            <w:pPr>
              <w:pStyle w:val="179"/>
              <w:jc w:val="left"/>
            </w:pPr>
            <w:r>
              <w:rPr>
                <w:rFonts w:hint="eastAsia"/>
              </w:rPr>
              <w:t>　9．培训</w:t>
            </w:r>
          </w:p>
        </w:tc>
      </w:tr>
    </w:tbl>
    <w:p>
      <w:pPr>
        <w:pStyle w:val="57"/>
        <w:ind w:firstLine="420"/>
        <w:jc w:val="center"/>
      </w:pPr>
    </w:p>
    <w:p>
      <w:pPr>
        <w:pStyle w:val="57"/>
        <w:ind w:firstLine="420"/>
        <w:jc w:val="center"/>
      </w:pPr>
      <w:r>
        <w:rPr>
          <w:rFonts w:hint="eastAsia"/>
        </w:rPr>
        <w:t>表</w:t>
      </w:r>
      <w:r>
        <w:t>1</w:t>
      </w:r>
      <w:r>
        <w:rPr>
          <w:rFonts w:hint="eastAsia"/>
        </w:rPr>
        <w:t xml:space="preserve"> 控制点及一致性准则清单（续）</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003"/>
        <w:gridCol w:w="1842"/>
        <w:gridCol w:w="3402"/>
        <w:gridCol w:w="1252"/>
        <w:gridCol w:w="18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rPr>
                <w:b/>
              </w:rPr>
            </w:pPr>
            <w:r>
              <w:rPr>
                <w:rFonts w:hint="eastAsia"/>
                <w:b/>
              </w:rPr>
              <w:t>编号</w:t>
            </w:r>
          </w:p>
        </w:tc>
        <w:tc>
          <w:tcPr>
            <w:tcW w:w="1842" w:type="dxa"/>
            <w:tcBorders>
              <w:top w:val="single" w:color="auto" w:sz="8" w:space="0"/>
              <w:bottom w:val="single" w:color="auto" w:sz="8" w:space="0"/>
            </w:tcBorders>
            <w:shd w:val="clear" w:color="auto" w:fill="auto"/>
            <w:vAlign w:val="center"/>
          </w:tcPr>
          <w:p>
            <w:pPr>
              <w:pStyle w:val="179"/>
              <w:rPr>
                <w:b/>
              </w:rPr>
            </w:pPr>
            <w:r>
              <w:rPr>
                <w:rFonts w:hint="eastAsia"/>
                <w:b/>
              </w:rPr>
              <w:t>控制点</w:t>
            </w:r>
          </w:p>
        </w:tc>
        <w:tc>
          <w:tcPr>
            <w:tcW w:w="3402" w:type="dxa"/>
            <w:tcBorders>
              <w:top w:val="single" w:color="auto" w:sz="8" w:space="0"/>
              <w:bottom w:val="single" w:color="auto" w:sz="8" w:space="0"/>
            </w:tcBorders>
            <w:shd w:val="clear" w:color="auto" w:fill="auto"/>
            <w:vAlign w:val="center"/>
          </w:tcPr>
          <w:p>
            <w:pPr>
              <w:pStyle w:val="179"/>
              <w:rPr>
                <w:b/>
              </w:rPr>
            </w:pPr>
            <w:r>
              <w:rPr>
                <w:rFonts w:hint="eastAsia"/>
                <w:b/>
              </w:rPr>
              <w:t>一致性准则</w:t>
            </w:r>
          </w:p>
        </w:tc>
        <w:tc>
          <w:tcPr>
            <w:tcW w:w="1252" w:type="dxa"/>
            <w:tcBorders>
              <w:top w:val="single" w:color="auto" w:sz="8" w:space="0"/>
              <w:bottom w:val="single" w:color="auto" w:sz="8" w:space="0"/>
            </w:tcBorders>
            <w:shd w:val="clear" w:color="auto" w:fill="auto"/>
            <w:vAlign w:val="center"/>
          </w:tcPr>
          <w:p>
            <w:pPr>
              <w:pStyle w:val="179"/>
              <w:rPr>
                <w:b/>
              </w:rPr>
            </w:pPr>
            <w:r>
              <w:rPr>
                <w:rFonts w:hint="eastAsia"/>
                <w:b/>
              </w:rPr>
              <w:t>级别</w:t>
            </w:r>
          </w:p>
        </w:tc>
        <w:tc>
          <w:tcPr>
            <w:tcW w:w="1875" w:type="dxa"/>
            <w:tcBorders>
              <w:top w:val="single" w:color="auto" w:sz="8" w:space="0"/>
              <w:bottom w:val="single" w:color="auto" w:sz="8" w:space="0"/>
            </w:tcBorders>
            <w:shd w:val="clear" w:color="auto" w:fill="auto"/>
            <w:vAlign w:val="center"/>
          </w:tcPr>
          <w:p>
            <w:pPr>
              <w:pStyle w:val="179"/>
              <w:rPr>
                <w:b/>
              </w:rPr>
            </w:pPr>
            <w:r>
              <w:rPr>
                <w:rFonts w:hint="eastAsia"/>
                <w:b/>
              </w:rPr>
              <w:t>适用条件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9</w:t>
            </w:r>
            <w:r>
              <w:t>.1</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是否为员工提供有关追溯系统的培训，同时，该培训内容是否定期更新</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记录应注明培训日期，说明对负责追溯的员工进行培训</w:t>
            </w:r>
          </w:p>
        </w:tc>
        <w:tc>
          <w:tcPr>
            <w:tcW w:w="1252" w:type="dxa"/>
            <w:tcBorders>
              <w:top w:val="single" w:color="auto" w:sz="8" w:space="0"/>
              <w:bottom w:val="single" w:color="auto" w:sz="8" w:space="0"/>
            </w:tcBorders>
            <w:shd w:val="clear" w:color="auto" w:fill="auto"/>
            <w:vAlign w:val="center"/>
          </w:tcPr>
          <w:p>
            <w:pPr>
              <w:pStyle w:val="179"/>
            </w:pPr>
            <w:r>
              <w:rPr>
                <w:rFonts w:hint="eastAsia"/>
              </w:rPr>
              <w:t>必选</w:t>
            </w:r>
          </w:p>
        </w:tc>
        <w:tc>
          <w:tcPr>
            <w:tcW w:w="1875" w:type="dxa"/>
            <w:tcBorders>
              <w:top w:val="single" w:color="auto" w:sz="8" w:space="0"/>
              <w:bottom w:val="single" w:color="auto" w:sz="8" w:space="0"/>
            </w:tcBorders>
            <w:shd w:val="clear" w:color="auto" w:fill="auto"/>
            <w:vAlign w:val="center"/>
          </w:tcPr>
          <w:p>
            <w:pPr>
              <w:pStyle w:val="179"/>
              <w:jc w:val="left"/>
              <w:rPr>
                <w:rFonts w:hAnsi="宋体"/>
              </w:rPr>
            </w:pPr>
            <w:r>
              <w:rPr>
                <w:rFonts w:hint="eastAsia"/>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9</w:t>
            </w:r>
            <w:r>
              <w:t>.2</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负责追溯系统的员工，是否接受了有关GS1全球追溯标准和GS1系统的培训</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记录应证明负责技术支撑追溯系统的员工接受了有关GS1全球追溯标准和GS1系统的培训。同时要有培训证书或者培训签到表</w:t>
            </w:r>
          </w:p>
        </w:tc>
        <w:tc>
          <w:tcPr>
            <w:tcW w:w="1252" w:type="dxa"/>
            <w:tcBorders>
              <w:top w:val="single" w:color="auto" w:sz="8" w:space="0"/>
              <w:bottom w:val="single" w:color="auto" w:sz="8" w:space="0"/>
            </w:tcBorders>
            <w:shd w:val="clear" w:color="auto" w:fill="auto"/>
            <w:vAlign w:val="center"/>
          </w:tcPr>
          <w:p>
            <w:pPr>
              <w:pStyle w:val="179"/>
            </w:pPr>
            <w:r>
              <w:rPr>
                <w:rFonts w:hint="eastAsia"/>
              </w:rPr>
              <w:t>可选</w:t>
            </w:r>
          </w:p>
        </w:tc>
        <w:tc>
          <w:tcPr>
            <w:tcW w:w="1875" w:type="dxa"/>
            <w:tcBorders>
              <w:top w:val="single" w:color="auto" w:sz="8" w:space="0"/>
              <w:bottom w:val="single" w:color="auto" w:sz="8" w:space="0"/>
            </w:tcBorders>
            <w:shd w:val="clear" w:color="auto" w:fill="auto"/>
            <w:vAlign w:val="center"/>
          </w:tcPr>
          <w:p>
            <w:pPr>
              <w:pStyle w:val="179"/>
              <w:jc w:val="left"/>
              <w:rPr>
                <w:highlight w:val="yellow"/>
              </w:rPr>
            </w:pPr>
            <w:r>
              <w:rPr>
                <w:rFonts w:hint="eastAsia"/>
              </w:rPr>
              <w:t>　</w:t>
            </w:r>
            <w:r>
              <w:rPr>
                <w:rFonts w:hint="eastAsia" w:hAnsi="宋体"/>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9374" w:type="dxa"/>
            <w:gridSpan w:val="5"/>
            <w:tcBorders>
              <w:top w:val="single" w:color="auto" w:sz="8" w:space="0"/>
              <w:bottom w:val="single" w:color="auto" w:sz="8" w:space="0"/>
            </w:tcBorders>
            <w:shd w:val="clear" w:color="auto" w:fill="auto"/>
            <w:vAlign w:val="center"/>
          </w:tcPr>
          <w:p>
            <w:pPr>
              <w:pStyle w:val="179"/>
              <w:jc w:val="left"/>
              <w:rPr>
                <w:b/>
              </w:rPr>
            </w:pPr>
            <w:r>
              <w:rPr>
                <w:rFonts w:hint="eastAsia"/>
              </w:rPr>
              <w:t>　10．供应链协作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1</w:t>
            </w:r>
            <w:r>
              <w:t>0.1</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是否可以从贸易伙伴处获得所收到的所有贸易项目的追溯信息</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从贸易伙伴处应至少获得以下需要追溯的某一批次号或序列号贸易项目的信息：</w:t>
            </w:r>
          </w:p>
          <w:p>
            <w:pPr>
              <w:pStyle w:val="175"/>
              <w:numPr>
                <w:ilvl w:val="0"/>
                <w:numId w:val="62"/>
              </w:numPr>
              <w:rPr>
                <w:sz w:val="18"/>
                <w:szCs w:val="18"/>
              </w:rPr>
            </w:pPr>
            <w:r>
              <w:rPr>
                <w:rFonts w:hint="eastAsia"/>
                <w:sz w:val="18"/>
                <w:szCs w:val="18"/>
              </w:rPr>
              <w:t>产品标识（可用 GTIN）；</w:t>
            </w:r>
          </w:p>
          <w:p>
            <w:pPr>
              <w:pStyle w:val="175"/>
              <w:rPr>
                <w:sz w:val="18"/>
                <w:szCs w:val="18"/>
              </w:rPr>
            </w:pPr>
            <w:r>
              <w:rPr>
                <w:rFonts w:hint="eastAsia"/>
                <w:sz w:val="18"/>
                <w:szCs w:val="18"/>
              </w:rPr>
              <w:t>数量；</w:t>
            </w:r>
          </w:p>
          <w:p>
            <w:pPr>
              <w:pStyle w:val="175"/>
              <w:rPr>
                <w:sz w:val="18"/>
                <w:szCs w:val="18"/>
              </w:rPr>
            </w:pPr>
            <w:r>
              <w:rPr>
                <w:rFonts w:hint="eastAsia"/>
                <w:sz w:val="18"/>
                <w:szCs w:val="18"/>
              </w:rPr>
              <w:t>生产日期；</w:t>
            </w:r>
          </w:p>
          <w:p>
            <w:pPr>
              <w:pStyle w:val="175"/>
              <w:rPr>
                <w:sz w:val="18"/>
                <w:szCs w:val="18"/>
              </w:rPr>
            </w:pPr>
            <w:r>
              <w:rPr>
                <w:rFonts w:hint="eastAsia"/>
                <w:sz w:val="18"/>
                <w:szCs w:val="18"/>
              </w:rPr>
              <w:t>发货日期；</w:t>
            </w:r>
          </w:p>
          <w:p>
            <w:pPr>
              <w:pStyle w:val="175"/>
            </w:pPr>
            <w:r>
              <w:rPr>
                <w:rFonts w:hint="eastAsia"/>
                <w:sz w:val="18"/>
                <w:szCs w:val="18"/>
              </w:rPr>
              <w:t>物流商信息（可用GLN）、地址、电话号码、传真号、电子邮箱（可选</w:t>
            </w:r>
            <w:r>
              <w:rPr>
                <w:rFonts w:hint="eastAsia"/>
              </w:rPr>
              <w:t>）</w:t>
            </w:r>
          </w:p>
        </w:tc>
        <w:tc>
          <w:tcPr>
            <w:tcW w:w="1252" w:type="dxa"/>
            <w:tcBorders>
              <w:top w:val="single" w:color="auto" w:sz="8" w:space="0"/>
              <w:bottom w:val="single" w:color="auto" w:sz="8" w:space="0"/>
            </w:tcBorders>
            <w:shd w:val="clear" w:color="auto" w:fill="auto"/>
            <w:vAlign w:val="center"/>
          </w:tcPr>
          <w:p>
            <w:pPr>
              <w:pStyle w:val="179"/>
            </w:pPr>
            <w:r>
              <w:rPr>
                <w:rFonts w:hint="eastAsia"/>
              </w:rPr>
              <w:t>有条件必选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适用于贸易伙伴可提供相关追溯信息的企业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1</w:t>
            </w:r>
            <w:r>
              <w:t>0.2</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当客户提出请求时，是否可以及时提供详细的追溯信息；根据行业协议可从贸易伙伴处获得追溯信息</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需要追溯的某一批次号或序列号的贸易项目，贸易伙伴相互可根据行业协议及时获得追溯信息</w:t>
            </w:r>
          </w:p>
        </w:tc>
        <w:tc>
          <w:tcPr>
            <w:tcW w:w="1252" w:type="dxa"/>
            <w:tcBorders>
              <w:top w:val="single" w:color="auto" w:sz="8" w:space="0"/>
              <w:bottom w:val="single" w:color="auto" w:sz="8" w:space="0"/>
            </w:tcBorders>
            <w:shd w:val="clear" w:color="auto" w:fill="auto"/>
            <w:vAlign w:val="center"/>
          </w:tcPr>
          <w:p>
            <w:pPr>
              <w:pStyle w:val="179"/>
            </w:pPr>
            <w:r>
              <w:rPr>
                <w:rFonts w:hint="eastAsia"/>
              </w:rPr>
              <w:t>推荐</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1</w:t>
            </w:r>
            <w:r>
              <w:t>0.3</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是否详细记录处理追溯危机的流程</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应说明何时会发生危机，并列出危机管理时将要采取的所有行动</w:t>
            </w:r>
          </w:p>
        </w:tc>
        <w:tc>
          <w:tcPr>
            <w:tcW w:w="1252" w:type="dxa"/>
            <w:tcBorders>
              <w:top w:val="single" w:color="auto" w:sz="8" w:space="0"/>
              <w:bottom w:val="single" w:color="auto" w:sz="8" w:space="0"/>
            </w:tcBorders>
            <w:shd w:val="clear" w:color="auto" w:fill="auto"/>
            <w:vAlign w:val="center"/>
          </w:tcPr>
          <w:p>
            <w:pPr>
              <w:pStyle w:val="179"/>
            </w:pPr>
            <w:r>
              <w:rPr>
                <w:rFonts w:hint="eastAsia"/>
              </w:rPr>
              <w:t>推荐</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1</w:t>
            </w:r>
            <w:r>
              <w:t>0.4</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是否设有危机处理小组，并且明确了成员各自的职责和作用</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建立危机处理团队并授权其进行管理，团队详细确定各自的作用和职责</w:t>
            </w:r>
          </w:p>
        </w:tc>
        <w:tc>
          <w:tcPr>
            <w:tcW w:w="1252" w:type="dxa"/>
            <w:tcBorders>
              <w:top w:val="single" w:color="auto" w:sz="8" w:space="0"/>
              <w:bottom w:val="single" w:color="auto" w:sz="8" w:space="0"/>
            </w:tcBorders>
            <w:shd w:val="clear" w:color="auto" w:fill="auto"/>
            <w:vAlign w:val="center"/>
          </w:tcPr>
          <w:p>
            <w:pPr>
              <w:pStyle w:val="179"/>
            </w:pPr>
            <w:r>
              <w:rPr>
                <w:rFonts w:hint="eastAsia"/>
              </w:rPr>
              <w:t>推荐</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1</w:t>
            </w:r>
            <w:r>
              <w:t>0.5</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是否制定针对问题产品的召回计划</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应说明受影响产品的召回方式</w:t>
            </w:r>
          </w:p>
        </w:tc>
        <w:tc>
          <w:tcPr>
            <w:tcW w:w="1252" w:type="dxa"/>
            <w:tcBorders>
              <w:top w:val="single" w:color="auto" w:sz="8" w:space="0"/>
              <w:bottom w:val="single" w:color="auto" w:sz="8" w:space="0"/>
            </w:tcBorders>
            <w:shd w:val="clear" w:color="auto" w:fill="auto"/>
            <w:vAlign w:val="center"/>
          </w:tcPr>
          <w:p>
            <w:pPr>
              <w:pStyle w:val="179"/>
            </w:pPr>
            <w:r>
              <w:rPr>
                <w:rFonts w:hint="eastAsia"/>
              </w:rPr>
              <w:t>推荐</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1</w:t>
            </w:r>
            <w:r>
              <w:t>0.6</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安全危机管理和召回程序是否是随时运作</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安全危机管理和召回程序7×24h运作</w:t>
            </w:r>
          </w:p>
        </w:tc>
        <w:tc>
          <w:tcPr>
            <w:tcW w:w="1252" w:type="dxa"/>
            <w:tcBorders>
              <w:top w:val="single" w:color="auto" w:sz="8" w:space="0"/>
              <w:bottom w:val="single" w:color="auto" w:sz="8" w:space="0"/>
            </w:tcBorders>
            <w:shd w:val="clear" w:color="auto" w:fill="auto"/>
            <w:vAlign w:val="center"/>
          </w:tcPr>
          <w:p>
            <w:pPr>
              <w:pStyle w:val="179"/>
            </w:pPr>
            <w:r>
              <w:rPr>
                <w:rFonts w:hint="eastAsia"/>
              </w:rPr>
              <w:t>推荐</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9374" w:type="dxa"/>
            <w:gridSpan w:val="5"/>
            <w:tcBorders>
              <w:top w:val="single" w:color="auto" w:sz="8" w:space="0"/>
              <w:bottom w:val="single" w:color="auto" w:sz="8" w:space="0"/>
            </w:tcBorders>
            <w:shd w:val="clear" w:color="auto" w:fill="auto"/>
            <w:vAlign w:val="center"/>
          </w:tcPr>
          <w:p>
            <w:pPr>
              <w:pStyle w:val="179"/>
              <w:jc w:val="left"/>
              <w:rPr>
                <w:rFonts w:hAnsi="宋体"/>
              </w:rPr>
            </w:pPr>
            <w:r>
              <w:rPr>
                <w:rFonts w:hint="eastAsia"/>
              </w:rPr>
              <w:t>　11．监控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1</w:t>
            </w:r>
            <w:r>
              <w:t>1.1</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是否针对追溯系统建立监管和控制计划，同时该监管和控制计划是否定期执行</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建立追溯系统监管和控制计划，按照范围和目标定期确认运作是否正常</w:t>
            </w:r>
          </w:p>
        </w:tc>
        <w:tc>
          <w:tcPr>
            <w:tcW w:w="1252" w:type="dxa"/>
            <w:tcBorders>
              <w:top w:val="single" w:color="auto" w:sz="8" w:space="0"/>
              <w:bottom w:val="single" w:color="auto" w:sz="8" w:space="0"/>
            </w:tcBorders>
            <w:shd w:val="clear" w:color="auto" w:fill="auto"/>
            <w:vAlign w:val="center"/>
          </w:tcPr>
          <w:p>
            <w:pPr>
              <w:pStyle w:val="179"/>
            </w:pPr>
            <w:r>
              <w:rPr>
                <w:rFonts w:hint="eastAsia"/>
              </w:rPr>
              <w:t>必选</w:t>
            </w:r>
          </w:p>
        </w:tc>
        <w:tc>
          <w:tcPr>
            <w:tcW w:w="1875" w:type="dxa"/>
            <w:tcBorders>
              <w:top w:val="single" w:color="auto" w:sz="8" w:space="0"/>
              <w:bottom w:val="single" w:color="auto" w:sz="8" w:space="0"/>
            </w:tcBorders>
            <w:shd w:val="clear" w:color="auto" w:fill="auto"/>
            <w:vAlign w:val="center"/>
          </w:tcPr>
          <w:p>
            <w:pPr>
              <w:pStyle w:val="179"/>
              <w:jc w:val="left"/>
              <w:rPr>
                <w:rFonts w:hAnsi="宋体"/>
              </w:rPr>
            </w:pPr>
            <w:r>
              <w:rPr>
                <w:rFonts w:hint="eastAsia"/>
              </w:rPr>
              <w:t>　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1</w:t>
            </w:r>
            <w:r>
              <w:t>1.2</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是否根据监控计划得到其追溯系统的审查结果</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宜提供证据证明其根据监控计划对追溯系统进行监控</w:t>
            </w:r>
          </w:p>
        </w:tc>
        <w:tc>
          <w:tcPr>
            <w:tcW w:w="1252" w:type="dxa"/>
            <w:tcBorders>
              <w:top w:val="single" w:color="auto" w:sz="8" w:space="0"/>
              <w:bottom w:val="single" w:color="auto" w:sz="8" w:space="0"/>
            </w:tcBorders>
            <w:shd w:val="clear" w:color="auto" w:fill="auto"/>
            <w:vAlign w:val="center"/>
          </w:tcPr>
          <w:p>
            <w:pPr>
              <w:pStyle w:val="179"/>
            </w:pPr>
            <w:r>
              <w:rPr>
                <w:rFonts w:hint="eastAsia"/>
              </w:rPr>
              <w:t>推荐</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w:t>
            </w:r>
          </w:p>
        </w:tc>
      </w:tr>
      <w:bookmarkEnd w:id="21"/>
    </w:tbl>
    <w:p>
      <w:pPr>
        <w:pStyle w:val="57"/>
        <w:ind w:firstLine="420"/>
        <w:jc w:val="center"/>
      </w:pPr>
      <w:bookmarkStart w:id="59" w:name="BookMark6"/>
      <w:r>
        <w:rPr>
          <w:rFonts w:hint="eastAsia"/>
        </w:rPr>
        <w:t>表</w:t>
      </w:r>
      <w:r>
        <w:t>1</w:t>
      </w:r>
      <w:r>
        <w:rPr>
          <w:rFonts w:hint="eastAsia"/>
        </w:rPr>
        <w:t xml:space="preserve"> 控制点及一致性准则清单（续）</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003"/>
        <w:gridCol w:w="1842"/>
        <w:gridCol w:w="3402"/>
        <w:gridCol w:w="1252"/>
        <w:gridCol w:w="18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rPr>
                <w:b/>
              </w:rPr>
            </w:pPr>
            <w:r>
              <w:rPr>
                <w:rFonts w:hint="eastAsia"/>
                <w:b/>
              </w:rPr>
              <w:t>编号</w:t>
            </w:r>
          </w:p>
        </w:tc>
        <w:tc>
          <w:tcPr>
            <w:tcW w:w="1842" w:type="dxa"/>
            <w:tcBorders>
              <w:top w:val="single" w:color="auto" w:sz="8" w:space="0"/>
              <w:bottom w:val="single" w:color="auto" w:sz="8" w:space="0"/>
            </w:tcBorders>
            <w:shd w:val="clear" w:color="auto" w:fill="auto"/>
            <w:vAlign w:val="center"/>
          </w:tcPr>
          <w:p>
            <w:pPr>
              <w:pStyle w:val="179"/>
              <w:rPr>
                <w:b/>
              </w:rPr>
            </w:pPr>
            <w:r>
              <w:rPr>
                <w:rFonts w:hint="eastAsia"/>
                <w:b/>
              </w:rPr>
              <w:t>控制点</w:t>
            </w:r>
          </w:p>
        </w:tc>
        <w:tc>
          <w:tcPr>
            <w:tcW w:w="3402" w:type="dxa"/>
            <w:tcBorders>
              <w:top w:val="single" w:color="auto" w:sz="8" w:space="0"/>
              <w:bottom w:val="single" w:color="auto" w:sz="8" w:space="0"/>
            </w:tcBorders>
            <w:shd w:val="clear" w:color="auto" w:fill="auto"/>
            <w:vAlign w:val="center"/>
          </w:tcPr>
          <w:p>
            <w:pPr>
              <w:pStyle w:val="179"/>
              <w:rPr>
                <w:b/>
              </w:rPr>
            </w:pPr>
            <w:r>
              <w:rPr>
                <w:rFonts w:hint="eastAsia"/>
                <w:b/>
              </w:rPr>
              <w:t>一致性准则</w:t>
            </w:r>
          </w:p>
        </w:tc>
        <w:tc>
          <w:tcPr>
            <w:tcW w:w="1252" w:type="dxa"/>
            <w:tcBorders>
              <w:top w:val="single" w:color="auto" w:sz="8" w:space="0"/>
              <w:bottom w:val="single" w:color="auto" w:sz="8" w:space="0"/>
            </w:tcBorders>
            <w:shd w:val="clear" w:color="auto" w:fill="auto"/>
            <w:vAlign w:val="center"/>
          </w:tcPr>
          <w:p>
            <w:pPr>
              <w:pStyle w:val="179"/>
              <w:rPr>
                <w:b/>
              </w:rPr>
            </w:pPr>
            <w:r>
              <w:rPr>
                <w:rFonts w:hint="eastAsia"/>
                <w:b/>
              </w:rPr>
              <w:t>级别</w:t>
            </w:r>
          </w:p>
        </w:tc>
        <w:tc>
          <w:tcPr>
            <w:tcW w:w="1875" w:type="dxa"/>
            <w:tcBorders>
              <w:top w:val="single" w:color="auto" w:sz="8" w:space="0"/>
              <w:bottom w:val="single" w:color="auto" w:sz="8" w:space="0"/>
            </w:tcBorders>
            <w:shd w:val="clear" w:color="auto" w:fill="auto"/>
            <w:vAlign w:val="center"/>
          </w:tcPr>
          <w:p>
            <w:pPr>
              <w:pStyle w:val="179"/>
              <w:rPr>
                <w:b/>
              </w:rPr>
            </w:pPr>
            <w:r>
              <w:rPr>
                <w:rFonts w:hint="eastAsia"/>
                <w:b/>
              </w:rPr>
              <w:t>适用条件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9374" w:type="dxa"/>
            <w:gridSpan w:val="5"/>
            <w:tcBorders>
              <w:top w:val="single" w:color="auto" w:sz="8" w:space="0"/>
              <w:bottom w:val="single" w:color="auto" w:sz="8" w:space="0"/>
            </w:tcBorders>
            <w:shd w:val="clear" w:color="auto" w:fill="auto"/>
            <w:vAlign w:val="center"/>
          </w:tcPr>
          <w:p>
            <w:pPr>
              <w:pStyle w:val="179"/>
              <w:jc w:val="left"/>
              <w:rPr>
                <w:rFonts w:hAnsi="宋体"/>
              </w:rPr>
            </w:pPr>
            <w:r>
              <w:rPr>
                <w:rFonts w:hint="eastAsia"/>
              </w:rPr>
              <w:t>　12．内部和外部审核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spacing w:before="60" w:after="120"/>
            </w:pPr>
            <w:r>
              <w:rPr>
                <w:rFonts w:hint="eastAsia"/>
              </w:rPr>
              <w:t>1</w:t>
            </w:r>
            <w:r>
              <w:t>2.1</w:t>
            </w:r>
          </w:p>
        </w:tc>
        <w:tc>
          <w:tcPr>
            <w:tcW w:w="1842" w:type="dxa"/>
            <w:tcBorders>
              <w:top w:val="single" w:color="auto" w:sz="8" w:space="0"/>
              <w:bottom w:val="single" w:color="auto" w:sz="8" w:space="0"/>
            </w:tcBorders>
            <w:shd w:val="clear" w:color="auto" w:fill="auto"/>
            <w:vAlign w:val="center"/>
          </w:tcPr>
          <w:p>
            <w:pPr>
              <w:pStyle w:val="179"/>
              <w:spacing w:before="60" w:after="120"/>
              <w:jc w:val="left"/>
            </w:pPr>
            <w:r>
              <w:rPr>
                <w:rFonts w:hint="eastAsia"/>
              </w:rPr>
              <w:t>　是否对内部和外部的审核情况进行记录以确保其符合追溯标准，同时，至少每年进行一次内部或外部审核</w:t>
            </w:r>
          </w:p>
        </w:tc>
        <w:tc>
          <w:tcPr>
            <w:tcW w:w="3402" w:type="dxa"/>
            <w:tcBorders>
              <w:top w:val="single" w:color="auto" w:sz="8" w:space="0"/>
              <w:bottom w:val="single" w:color="auto" w:sz="8" w:space="0"/>
            </w:tcBorders>
            <w:shd w:val="clear" w:color="auto" w:fill="auto"/>
            <w:vAlign w:val="center"/>
          </w:tcPr>
          <w:p>
            <w:pPr>
              <w:pStyle w:val="179"/>
              <w:spacing w:before="60" w:after="120"/>
              <w:jc w:val="left"/>
            </w:pPr>
            <w:r>
              <w:rPr>
                <w:rFonts w:hint="eastAsia"/>
              </w:rPr>
              <w:t>　具有每年进行一次内部或外部审核的记录文件</w:t>
            </w:r>
          </w:p>
        </w:tc>
        <w:tc>
          <w:tcPr>
            <w:tcW w:w="1252" w:type="dxa"/>
            <w:tcBorders>
              <w:top w:val="single" w:color="auto" w:sz="8" w:space="0"/>
              <w:bottom w:val="single" w:color="auto" w:sz="8" w:space="0"/>
            </w:tcBorders>
            <w:shd w:val="clear" w:color="auto" w:fill="auto"/>
            <w:vAlign w:val="center"/>
          </w:tcPr>
          <w:p>
            <w:pPr>
              <w:pStyle w:val="179"/>
              <w:spacing w:before="60" w:after="120"/>
            </w:pPr>
            <w:r>
              <w:t>必选</w:t>
            </w:r>
          </w:p>
        </w:tc>
        <w:tc>
          <w:tcPr>
            <w:tcW w:w="1875" w:type="dxa"/>
            <w:tcBorders>
              <w:top w:val="single" w:color="auto" w:sz="8" w:space="0"/>
              <w:bottom w:val="single" w:color="auto" w:sz="8" w:space="0"/>
            </w:tcBorders>
            <w:shd w:val="clear" w:color="auto" w:fill="auto"/>
            <w:vAlign w:val="center"/>
          </w:tcPr>
          <w:p>
            <w:pPr>
              <w:pStyle w:val="179"/>
              <w:spacing w:before="60" w:after="120"/>
              <w:jc w:val="left"/>
            </w:pPr>
            <w:r>
              <w:rPr>
                <w:rFonts w:hint="eastAsia"/>
              </w:rPr>
              <w:t>　</w:t>
            </w:r>
            <w:r>
              <w:t>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1</w:t>
            </w:r>
            <w:r>
              <w:t>2.2</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是否有此前的追溯审核与审查结果记录</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有先前实施追溯审核与追溯审查结果的相关文件</w:t>
            </w:r>
          </w:p>
        </w:tc>
        <w:tc>
          <w:tcPr>
            <w:tcW w:w="1252" w:type="dxa"/>
            <w:tcBorders>
              <w:top w:val="single" w:color="auto" w:sz="8" w:space="0"/>
              <w:bottom w:val="single" w:color="auto" w:sz="8" w:space="0"/>
            </w:tcBorders>
            <w:shd w:val="clear" w:color="auto" w:fill="auto"/>
            <w:vAlign w:val="center"/>
          </w:tcPr>
          <w:p>
            <w:pPr>
              <w:pStyle w:val="179"/>
            </w:pPr>
            <w: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rPr>
              <w:t>　</w:t>
            </w:r>
            <w:r>
              <w:t>适用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003" w:type="dxa"/>
            <w:tcBorders>
              <w:top w:val="single" w:color="auto" w:sz="8" w:space="0"/>
              <w:bottom w:val="single" w:color="auto" w:sz="8" w:space="0"/>
            </w:tcBorders>
            <w:shd w:val="clear" w:color="auto" w:fill="auto"/>
            <w:vAlign w:val="center"/>
          </w:tcPr>
          <w:p>
            <w:pPr>
              <w:pStyle w:val="179"/>
            </w:pPr>
            <w:r>
              <w:rPr>
                <w:rFonts w:hint="eastAsia"/>
              </w:rPr>
              <w:t>1</w:t>
            </w:r>
            <w:r>
              <w:t>2.3</w:t>
            </w:r>
          </w:p>
        </w:tc>
        <w:tc>
          <w:tcPr>
            <w:tcW w:w="1842" w:type="dxa"/>
            <w:tcBorders>
              <w:top w:val="single" w:color="auto" w:sz="8" w:space="0"/>
              <w:bottom w:val="single" w:color="auto" w:sz="8" w:space="0"/>
            </w:tcBorders>
            <w:shd w:val="clear" w:color="auto" w:fill="auto"/>
            <w:vAlign w:val="center"/>
          </w:tcPr>
          <w:p>
            <w:pPr>
              <w:pStyle w:val="179"/>
              <w:jc w:val="left"/>
            </w:pPr>
            <w:r>
              <w:rPr>
                <w:rFonts w:hint="eastAsia"/>
              </w:rPr>
              <w:t>　为解决追溯系统运行的不符合项已采取的内部和外部审核（第三方）纠正措施，是否编制了相关文件</w:t>
            </w:r>
          </w:p>
        </w:tc>
        <w:tc>
          <w:tcPr>
            <w:tcW w:w="3402" w:type="dxa"/>
            <w:tcBorders>
              <w:top w:val="single" w:color="auto" w:sz="8" w:space="0"/>
              <w:bottom w:val="single" w:color="auto" w:sz="8" w:space="0"/>
            </w:tcBorders>
            <w:shd w:val="clear" w:color="auto" w:fill="auto"/>
            <w:vAlign w:val="center"/>
          </w:tcPr>
          <w:p>
            <w:pPr>
              <w:pStyle w:val="179"/>
              <w:jc w:val="left"/>
            </w:pPr>
            <w:r>
              <w:rPr>
                <w:rFonts w:hint="eastAsia"/>
              </w:rPr>
              <w:t>　有描述解决追溯系统运行的不符合项已采取措施的相关文件</w:t>
            </w:r>
          </w:p>
        </w:tc>
        <w:tc>
          <w:tcPr>
            <w:tcW w:w="1252" w:type="dxa"/>
            <w:tcBorders>
              <w:top w:val="single" w:color="auto" w:sz="8" w:space="0"/>
              <w:bottom w:val="single" w:color="auto" w:sz="8" w:space="0"/>
            </w:tcBorders>
            <w:shd w:val="clear" w:color="auto" w:fill="auto"/>
            <w:vAlign w:val="center"/>
          </w:tcPr>
          <w:p>
            <w:pPr>
              <w:pStyle w:val="179"/>
            </w:pPr>
            <w:r>
              <w:t>有条件</w:t>
            </w:r>
            <w:r>
              <w:rPr>
                <w:rFonts w:hint="eastAsia"/>
              </w:rPr>
              <w:t>必选</w:t>
            </w:r>
          </w:p>
        </w:tc>
        <w:tc>
          <w:tcPr>
            <w:tcW w:w="1875" w:type="dxa"/>
            <w:tcBorders>
              <w:top w:val="single" w:color="auto" w:sz="8" w:space="0"/>
              <w:bottom w:val="single" w:color="auto" w:sz="8" w:space="0"/>
            </w:tcBorders>
            <w:shd w:val="clear" w:color="auto" w:fill="auto"/>
            <w:vAlign w:val="center"/>
          </w:tcPr>
          <w:p>
            <w:pPr>
              <w:pStyle w:val="179"/>
              <w:jc w:val="left"/>
            </w:pPr>
            <w:r>
              <w:rPr>
                <w:rFonts w:hint="eastAsia" w:hAnsi="宋体"/>
              </w:rPr>
              <w:t>　适用于有条件开展整改的企业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9374" w:type="dxa"/>
            <w:gridSpan w:val="5"/>
            <w:tcBorders>
              <w:top w:val="single" w:color="auto" w:sz="8" w:space="0"/>
              <w:bottom w:val="single" w:color="auto" w:sz="8" w:space="0"/>
            </w:tcBorders>
            <w:shd w:val="clear" w:color="auto" w:fill="auto"/>
            <w:vAlign w:val="center"/>
          </w:tcPr>
          <w:p>
            <w:pPr>
              <w:pStyle w:val="181"/>
              <w:numPr>
                <w:ilvl w:val="0"/>
                <w:numId w:val="0"/>
              </w:numPr>
            </w:pPr>
            <w:r>
              <w:rPr>
                <w:rFonts w:hint="eastAsia"/>
              </w:rPr>
              <w:t>　“</w:t>
            </w:r>
            <w:r>
              <w:rPr>
                <w:rFonts w:hint="eastAsia" w:hAnsi="宋体"/>
              </w:rPr>
              <w:t>–</w:t>
            </w:r>
            <w:r>
              <w:rPr>
                <w:rFonts w:hint="eastAsia"/>
              </w:rPr>
              <w:t>”表示进行评价活动的工作人员可自行根据企业实际情况和条件判断决定是否适用。</w:t>
            </w:r>
          </w:p>
          <w:p>
            <w:pPr>
              <w:pStyle w:val="179"/>
              <w:jc w:val="left"/>
              <w:rPr>
                <w:rFonts w:hAnsi="宋体"/>
              </w:rPr>
            </w:pPr>
            <w:r>
              <w:rPr>
                <w:rFonts w:hint="eastAsia"/>
              </w:rPr>
              <w:t>　级别为“有条件必选”的控制点，在满足对应适用条件的情况下，需符合适用条件。</w:t>
            </w:r>
          </w:p>
        </w:tc>
      </w:tr>
    </w:tbl>
    <w:p>
      <w:pPr>
        <w:pStyle w:val="106"/>
        <w:spacing w:before="156" w:after="156"/>
      </w:pPr>
      <w:bookmarkStart w:id="60" w:name="_Toc181103672"/>
      <w:r>
        <w:t>控制点结构</w:t>
      </w:r>
      <w:bookmarkEnd w:id="60"/>
    </w:p>
    <w:p>
      <w:pPr>
        <w:pStyle w:val="113"/>
        <w:spacing w:before="156" w:after="156"/>
      </w:pPr>
      <w:r>
        <w:rPr>
          <w:rFonts w:hint="eastAsia"/>
        </w:rPr>
        <w:t>控制点结构</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853"/>
        <w:gridCol w:w="1418"/>
        <w:gridCol w:w="610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blHeader/>
          <w:jc w:val="center"/>
        </w:trPr>
        <w:tc>
          <w:tcPr>
            <w:tcW w:w="1853" w:type="dxa"/>
            <w:tcBorders>
              <w:top w:val="single" w:color="auto" w:sz="8" w:space="0"/>
              <w:bottom w:val="single" w:color="auto" w:sz="8" w:space="0"/>
            </w:tcBorders>
            <w:shd w:val="clear" w:color="auto" w:fill="auto"/>
            <w:vAlign w:val="center"/>
          </w:tcPr>
          <w:p>
            <w:pPr>
              <w:pStyle w:val="179"/>
              <w:rPr>
                <w:b/>
              </w:rPr>
            </w:pPr>
            <w:r>
              <w:rPr>
                <w:rFonts w:hint="eastAsia"/>
                <w:b/>
              </w:rPr>
              <w:t>组成</w:t>
            </w:r>
          </w:p>
        </w:tc>
        <w:tc>
          <w:tcPr>
            <w:tcW w:w="1418" w:type="dxa"/>
            <w:tcBorders>
              <w:top w:val="single" w:color="auto" w:sz="8" w:space="0"/>
              <w:bottom w:val="single" w:color="auto" w:sz="8" w:space="0"/>
            </w:tcBorders>
            <w:shd w:val="clear" w:color="auto" w:fill="auto"/>
            <w:vAlign w:val="center"/>
          </w:tcPr>
          <w:p>
            <w:pPr>
              <w:pStyle w:val="179"/>
              <w:rPr>
                <w:b/>
              </w:rPr>
            </w:pPr>
            <w:r>
              <w:rPr>
                <w:rFonts w:hint="eastAsia"/>
                <w:b/>
              </w:rPr>
              <w:t>对应控制点编号</w:t>
            </w:r>
          </w:p>
        </w:tc>
        <w:tc>
          <w:tcPr>
            <w:tcW w:w="6103" w:type="dxa"/>
            <w:tcBorders>
              <w:top w:val="single" w:color="auto" w:sz="8" w:space="0"/>
              <w:bottom w:val="single" w:color="auto" w:sz="8" w:space="0"/>
            </w:tcBorders>
            <w:shd w:val="clear" w:color="auto" w:fill="auto"/>
            <w:vAlign w:val="center"/>
          </w:tcPr>
          <w:p>
            <w:pPr>
              <w:pStyle w:val="179"/>
              <w:rPr>
                <w:b/>
              </w:rPr>
            </w:pPr>
            <w:r>
              <w:rPr>
                <w:rFonts w:hint="eastAsia"/>
                <w:b/>
              </w:rP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875" w:hRule="atLeast"/>
          <w:jc w:val="center"/>
        </w:trPr>
        <w:tc>
          <w:tcPr>
            <w:tcW w:w="1853" w:type="dxa"/>
            <w:tcBorders>
              <w:top w:val="single" w:color="auto" w:sz="8" w:space="0"/>
            </w:tcBorders>
            <w:shd w:val="clear" w:color="auto" w:fill="auto"/>
            <w:vAlign w:val="center"/>
          </w:tcPr>
          <w:p>
            <w:pPr>
              <w:pStyle w:val="179"/>
              <w:jc w:val="left"/>
            </w:pPr>
            <w:r>
              <w:rPr>
                <w:rFonts w:hint="eastAsia"/>
              </w:rPr>
              <w:t>　1．目标</w:t>
            </w:r>
          </w:p>
        </w:tc>
        <w:tc>
          <w:tcPr>
            <w:tcW w:w="1418" w:type="dxa"/>
            <w:tcBorders>
              <w:top w:val="single" w:color="auto" w:sz="8" w:space="0"/>
            </w:tcBorders>
            <w:shd w:val="clear" w:color="auto" w:fill="auto"/>
            <w:vAlign w:val="center"/>
          </w:tcPr>
          <w:p>
            <w:pPr>
              <w:pStyle w:val="179"/>
              <w:jc w:val="left"/>
            </w:pPr>
            <w:r>
              <w:rPr>
                <w:rFonts w:hint="eastAsia"/>
                <w:szCs w:val="18"/>
              </w:rPr>
              <w:t>　</w:t>
            </w:r>
            <w:r>
              <w:rPr>
                <w:rFonts w:hint="eastAsia"/>
              </w:rPr>
              <w:t>1</w:t>
            </w:r>
            <w:r>
              <w:t>.1-1.4</w:t>
            </w:r>
          </w:p>
        </w:tc>
        <w:tc>
          <w:tcPr>
            <w:tcW w:w="6103" w:type="dxa"/>
            <w:tcBorders>
              <w:top w:val="single" w:color="auto" w:sz="8" w:space="0"/>
            </w:tcBorders>
            <w:shd w:val="clear" w:color="auto" w:fill="auto"/>
            <w:vAlign w:val="center"/>
          </w:tcPr>
          <w:p>
            <w:pPr>
              <w:pStyle w:val="179"/>
              <w:jc w:val="left"/>
            </w:pPr>
            <w:r>
              <w:rPr>
                <w:rFonts w:hint="eastAsia"/>
              </w:rPr>
              <w:t>　追溯系统指南与文件说明</w:t>
            </w:r>
          </w:p>
          <w:p>
            <w:pPr>
              <w:pStyle w:val="179"/>
              <w:jc w:val="left"/>
            </w:pPr>
            <w:r>
              <w:rPr>
                <w:rFonts w:hint="eastAsia"/>
              </w:rPr>
              <w:t>　1</w:t>
            </w:r>
            <w:r>
              <w:t>.3</w:t>
            </w:r>
            <w:r>
              <w:rPr>
                <w:rFonts w:hint="eastAsia"/>
              </w:rPr>
              <w:t>、1</w:t>
            </w:r>
            <w:r>
              <w:t>.4为必选项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839" w:hRule="atLeast"/>
          <w:jc w:val="center"/>
        </w:trPr>
        <w:tc>
          <w:tcPr>
            <w:tcW w:w="1853" w:type="dxa"/>
            <w:shd w:val="clear" w:color="auto" w:fill="auto"/>
            <w:vAlign w:val="center"/>
          </w:tcPr>
          <w:p>
            <w:pPr>
              <w:pStyle w:val="179"/>
              <w:jc w:val="left"/>
            </w:pPr>
            <w:r>
              <w:rPr>
                <w:rFonts w:hint="eastAsia"/>
              </w:rPr>
              <w:t>　</w:t>
            </w:r>
            <w:r>
              <w:t>2</w:t>
            </w:r>
            <w:r>
              <w:rPr>
                <w:rFonts w:hint="eastAsia"/>
              </w:rPr>
              <w:t>．产品定义</w:t>
            </w:r>
          </w:p>
        </w:tc>
        <w:tc>
          <w:tcPr>
            <w:tcW w:w="1418" w:type="dxa"/>
            <w:shd w:val="clear" w:color="auto" w:fill="auto"/>
            <w:vAlign w:val="center"/>
          </w:tcPr>
          <w:p>
            <w:pPr>
              <w:pStyle w:val="179"/>
              <w:jc w:val="left"/>
            </w:pPr>
            <w:r>
              <w:rPr>
                <w:rFonts w:hint="eastAsia"/>
                <w:szCs w:val="18"/>
              </w:rPr>
              <w:t>　</w:t>
            </w:r>
            <w:r>
              <w:t>2.1-2.5</w:t>
            </w:r>
          </w:p>
        </w:tc>
        <w:tc>
          <w:tcPr>
            <w:tcW w:w="6103" w:type="dxa"/>
            <w:shd w:val="clear" w:color="auto" w:fill="auto"/>
            <w:vAlign w:val="center"/>
          </w:tcPr>
          <w:p>
            <w:pPr>
              <w:pStyle w:val="179"/>
              <w:jc w:val="left"/>
            </w:pPr>
            <w:r>
              <w:rPr>
                <w:rFonts w:hint="eastAsia"/>
              </w:rPr>
              <w:t>　在主数据系统中，对所有收到的、生产的和配送的贸易项目进行说明</w:t>
            </w:r>
          </w:p>
          <w:p>
            <w:pPr>
              <w:pStyle w:val="179"/>
              <w:jc w:val="left"/>
            </w:pPr>
            <w:r>
              <w:rPr>
                <w:rFonts w:hint="eastAsia"/>
              </w:rPr>
              <w:t>　2</w:t>
            </w:r>
            <w:r>
              <w:t>.3</w:t>
            </w:r>
            <w:r>
              <w:rPr>
                <w:rFonts w:hint="eastAsia"/>
              </w:rPr>
              <w:t>为</w:t>
            </w:r>
            <w:r>
              <w:t>必选</w:t>
            </w:r>
            <w:r>
              <w:rPr>
                <w:rFonts w:hint="eastAsia"/>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683" w:hRule="atLeast"/>
          <w:jc w:val="center"/>
        </w:trPr>
        <w:tc>
          <w:tcPr>
            <w:tcW w:w="1853" w:type="dxa"/>
            <w:vMerge w:val="restart"/>
            <w:shd w:val="clear" w:color="auto" w:fill="auto"/>
            <w:vAlign w:val="center"/>
          </w:tcPr>
          <w:p>
            <w:pPr>
              <w:pStyle w:val="179"/>
              <w:jc w:val="left"/>
            </w:pPr>
            <w:r>
              <w:rPr>
                <w:rFonts w:hint="eastAsia"/>
              </w:rPr>
              <w:t>　</w:t>
            </w:r>
            <w:r>
              <w:t>3</w:t>
            </w:r>
            <w:r>
              <w:rPr>
                <w:rFonts w:hint="eastAsia"/>
              </w:rPr>
              <w:t>．</w:t>
            </w:r>
            <w:r>
              <w:t>供应链布局</w:t>
            </w:r>
          </w:p>
        </w:tc>
        <w:tc>
          <w:tcPr>
            <w:tcW w:w="1418" w:type="dxa"/>
            <w:shd w:val="clear" w:color="auto" w:fill="auto"/>
            <w:vAlign w:val="center"/>
          </w:tcPr>
          <w:p>
            <w:pPr>
              <w:pStyle w:val="179"/>
              <w:jc w:val="left"/>
            </w:pPr>
            <w:r>
              <w:rPr>
                <w:rFonts w:hint="eastAsia"/>
                <w:szCs w:val="18"/>
              </w:rPr>
              <w:t>　</w:t>
            </w:r>
            <w:r>
              <w:rPr>
                <w:rFonts w:hint="eastAsia"/>
              </w:rPr>
              <w:t>3</w:t>
            </w:r>
            <w:r>
              <w:t>.1-3.3</w:t>
            </w:r>
          </w:p>
        </w:tc>
        <w:tc>
          <w:tcPr>
            <w:tcW w:w="6103" w:type="dxa"/>
            <w:shd w:val="clear" w:color="auto" w:fill="auto"/>
            <w:vAlign w:val="center"/>
          </w:tcPr>
          <w:p>
            <w:pPr>
              <w:pStyle w:val="179"/>
              <w:jc w:val="left"/>
            </w:pPr>
            <w:r>
              <w:rPr>
                <w:rFonts w:hint="eastAsia"/>
              </w:rPr>
              <w:t>　在主数据系统中确认内部和外部追溯方</w:t>
            </w:r>
          </w:p>
          <w:p>
            <w:pPr>
              <w:pStyle w:val="179"/>
              <w:jc w:val="left"/>
            </w:pPr>
            <w:r>
              <w:rPr>
                <w:rFonts w:hint="eastAsia"/>
              </w:rPr>
              <w:t>　3</w:t>
            </w:r>
            <w:r>
              <w:t>.2为必选项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707" w:hRule="atLeast"/>
          <w:jc w:val="center"/>
        </w:trPr>
        <w:tc>
          <w:tcPr>
            <w:tcW w:w="1853" w:type="dxa"/>
            <w:vMerge w:val="continue"/>
            <w:shd w:val="clear" w:color="auto" w:fill="auto"/>
            <w:vAlign w:val="center"/>
          </w:tcPr>
          <w:p>
            <w:pPr>
              <w:pStyle w:val="179"/>
              <w:jc w:val="left"/>
            </w:pPr>
          </w:p>
        </w:tc>
        <w:tc>
          <w:tcPr>
            <w:tcW w:w="1418" w:type="dxa"/>
            <w:shd w:val="clear" w:color="auto" w:fill="auto"/>
            <w:vAlign w:val="center"/>
          </w:tcPr>
          <w:p>
            <w:pPr>
              <w:pStyle w:val="179"/>
              <w:jc w:val="left"/>
            </w:pPr>
            <w:r>
              <w:rPr>
                <w:rFonts w:hint="eastAsia"/>
                <w:szCs w:val="18"/>
              </w:rPr>
              <w:t>　</w:t>
            </w:r>
            <w:r>
              <w:rPr>
                <w:rFonts w:hint="eastAsia"/>
              </w:rPr>
              <w:t>3</w:t>
            </w:r>
            <w:r>
              <w:t>.4-3.8</w:t>
            </w:r>
          </w:p>
        </w:tc>
        <w:tc>
          <w:tcPr>
            <w:tcW w:w="6103" w:type="dxa"/>
            <w:shd w:val="clear" w:color="auto" w:fill="auto"/>
            <w:vAlign w:val="center"/>
          </w:tcPr>
          <w:p>
            <w:pPr>
              <w:pStyle w:val="179"/>
              <w:jc w:val="left"/>
            </w:pPr>
            <w:r>
              <w:rPr>
                <w:rFonts w:hint="eastAsia"/>
              </w:rPr>
              <w:t>　在主数据系统中确认位置</w:t>
            </w:r>
          </w:p>
          <w:p>
            <w:pPr>
              <w:pStyle w:val="179"/>
              <w:jc w:val="left"/>
            </w:pPr>
            <w:r>
              <w:rPr>
                <w:rFonts w:hint="eastAsia"/>
              </w:rPr>
              <w:t>　3</w:t>
            </w:r>
            <w:r>
              <w:t>.5为必选项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1113" w:hRule="atLeast"/>
          <w:jc w:val="center"/>
        </w:trPr>
        <w:tc>
          <w:tcPr>
            <w:tcW w:w="1853" w:type="dxa"/>
            <w:vMerge w:val="restart"/>
            <w:shd w:val="clear" w:color="auto" w:fill="auto"/>
            <w:vAlign w:val="center"/>
          </w:tcPr>
          <w:p>
            <w:pPr>
              <w:pStyle w:val="179"/>
              <w:jc w:val="left"/>
            </w:pPr>
            <w:r>
              <w:rPr>
                <w:rFonts w:hint="eastAsia"/>
              </w:rPr>
              <w:t>　4．程序建立</w:t>
            </w:r>
          </w:p>
        </w:tc>
        <w:tc>
          <w:tcPr>
            <w:tcW w:w="1418" w:type="dxa"/>
            <w:shd w:val="clear" w:color="auto" w:fill="auto"/>
            <w:vAlign w:val="center"/>
          </w:tcPr>
          <w:p>
            <w:pPr>
              <w:pStyle w:val="179"/>
              <w:jc w:val="left"/>
            </w:pPr>
            <w:r>
              <w:rPr>
                <w:rFonts w:hint="eastAsia"/>
                <w:szCs w:val="18"/>
              </w:rPr>
              <w:t>　</w:t>
            </w:r>
            <w:r>
              <w:rPr>
                <w:rFonts w:hint="eastAsia"/>
              </w:rPr>
              <w:t>4</w:t>
            </w:r>
            <w:r>
              <w:t>.1-4.5</w:t>
            </w:r>
          </w:p>
        </w:tc>
        <w:tc>
          <w:tcPr>
            <w:tcW w:w="6103" w:type="dxa"/>
            <w:shd w:val="clear" w:color="auto" w:fill="auto"/>
            <w:vAlign w:val="center"/>
          </w:tcPr>
          <w:p>
            <w:pPr>
              <w:pStyle w:val="179"/>
              <w:jc w:val="left"/>
            </w:pPr>
            <w:r>
              <w:rPr>
                <w:rFonts w:hint="eastAsia"/>
              </w:rPr>
              <w:t>　建立记录所有收到的、生产和配送的贸易项目和半成品的生产批次号和（或）序列号的程序</w:t>
            </w:r>
          </w:p>
          <w:p>
            <w:pPr>
              <w:pStyle w:val="179"/>
              <w:jc w:val="left"/>
            </w:pPr>
            <w:r>
              <w:rPr>
                <w:rFonts w:hint="eastAsia"/>
              </w:rPr>
              <w:t>　4</w:t>
            </w:r>
            <w:r>
              <w:t>.1</w:t>
            </w:r>
            <w:r>
              <w:rPr>
                <w:rFonts w:hint="eastAsia"/>
              </w:rPr>
              <w:t>、4</w:t>
            </w:r>
            <w:r>
              <w:t>.4</w:t>
            </w:r>
            <w:r>
              <w:rPr>
                <w:rFonts w:hint="eastAsia"/>
              </w:rPr>
              <w:t>为</w:t>
            </w:r>
            <w:r>
              <w:t>必选</w:t>
            </w:r>
            <w:r>
              <w:rPr>
                <w:rFonts w:hint="eastAsia"/>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564" w:hRule="atLeast"/>
          <w:jc w:val="center"/>
        </w:trPr>
        <w:tc>
          <w:tcPr>
            <w:tcW w:w="1853" w:type="dxa"/>
            <w:vMerge w:val="continue"/>
            <w:shd w:val="clear" w:color="auto" w:fill="auto"/>
            <w:vAlign w:val="center"/>
          </w:tcPr>
          <w:p>
            <w:pPr>
              <w:pStyle w:val="179"/>
              <w:jc w:val="left"/>
            </w:pPr>
          </w:p>
        </w:tc>
        <w:tc>
          <w:tcPr>
            <w:tcW w:w="1418" w:type="dxa"/>
            <w:shd w:val="clear" w:color="auto" w:fill="auto"/>
            <w:vAlign w:val="center"/>
          </w:tcPr>
          <w:p>
            <w:pPr>
              <w:pStyle w:val="179"/>
              <w:jc w:val="left"/>
            </w:pPr>
            <w:r>
              <w:rPr>
                <w:rFonts w:hint="eastAsia"/>
                <w:szCs w:val="18"/>
              </w:rPr>
              <w:t>　</w:t>
            </w:r>
            <w:r>
              <w:rPr>
                <w:rFonts w:hint="eastAsia"/>
              </w:rPr>
              <w:t>4</w:t>
            </w:r>
            <w:r>
              <w:t>.6-4.7</w:t>
            </w:r>
          </w:p>
        </w:tc>
        <w:tc>
          <w:tcPr>
            <w:tcW w:w="6103" w:type="dxa"/>
            <w:shd w:val="clear" w:color="auto" w:fill="auto"/>
            <w:vAlign w:val="center"/>
          </w:tcPr>
          <w:p>
            <w:pPr>
              <w:pStyle w:val="179"/>
              <w:jc w:val="left"/>
            </w:pPr>
            <w:r>
              <w:rPr>
                <w:rFonts w:hint="eastAsia"/>
              </w:rPr>
              <w:t>　建立贸易伙伴间的关键主数据的程序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1121" w:hRule="atLeast"/>
          <w:jc w:val="center"/>
        </w:trPr>
        <w:tc>
          <w:tcPr>
            <w:tcW w:w="1853" w:type="dxa"/>
            <w:vMerge w:val="continue"/>
            <w:shd w:val="clear" w:color="auto" w:fill="auto"/>
            <w:vAlign w:val="center"/>
          </w:tcPr>
          <w:p>
            <w:pPr>
              <w:pStyle w:val="179"/>
              <w:jc w:val="left"/>
            </w:pPr>
          </w:p>
        </w:tc>
        <w:tc>
          <w:tcPr>
            <w:tcW w:w="1418" w:type="dxa"/>
            <w:shd w:val="clear" w:color="auto" w:fill="auto"/>
            <w:vAlign w:val="center"/>
          </w:tcPr>
          <w:p>
            <w:pPr>
              <w:pStyle w:val="179"/>
              <w:jc w:val="left"/>
            </w:pPr>
            <w:r>
              <w:rPr>
                <w:rFonts w:hint="eastAsia"/>
                <w:szCs w:val="18"/>
              </w:rPr>
              <w:t>　</w:t>
            </w:r>
            <w:r>
              <w:rPr>
                <w:rFonts w:hint="eastAsia"/>
              </w:rPr>
              <w:t>4</w:t>
            </w:r>
            <w:r>
              <w:t>.8-4.10</w:t>
            </w:r>
          </w:p>
        </w:tc>
        <w:tc>
          <w:tcPr>
            <w:tcW w:w="6103" w:type="dxa"/>
            <w:shd w:val="clear" w:color="auto" w:fill="auto"/>
            <w:vAlign w:val="center"/>
          </w:tcPr>
          <w:p>
            <w:pPr>
              <w:pStyle w:val="179"/>
              <w:jc w:val="left"/>
            </w:pPr>
            <w:r>
              <w:rPr>
                <w:rFonts w:hint="eastAsia"/>
              </w:rPr>
              <w:t>　建立程序，用于收集、记录、分享和交流贸易伙伴本身或之间的内部追溯信息</w:t>
            </w:r>
          </w:p>
          <w:p>
            <w:pPr>
              <w:pStyle w:val="179"/>
              <w:jc w:val="left"/>
            </w:pPr>
            <w:r>
              <w:rPr>
                <w:rFonts w:hint="eastAsia"/>
              </w:rPr>
              <w:t>　4</w:t>
            </w:r>
            <w:r>
              <w:t>.8</w:t>
            </w:r>
            <w:r>
              <w:rPr>
                <w:rFonts w:hint="eastAsia"/>
              </w:rPr>
              <w:t>、</w:t>
            </w:r>
            <w:r>
              <w:t>4.9</w:t>
            </w:r>
            <w:r>
              <w:rPr>
                <w:rFonts w:hint="eastAsia"/>
              </w:rPr>
              <w:t>、4</w:t>
            </w:r>
            <w:r>
              <w:t>.10为必选项</w:t>
            </w:r>
          </w:p>
        </w:tc>
      </w:tr>
    </w:tbl>
    <w:p>
      <w:pPr>
        <w:pStyle w:val="57"/>
        <w:ind w:firstLine="420"/>
      </w:pPr>
    </w:p>
    <w:p>
      <w:pPr>
        <w:pStyle w:val="57"/>
        <w:ind w:firstLine="420"/>
        <w:jc w:val="center"/>
      </w:pPr>
      <w:r>
        <w:rPr>
          <w:rFonts w:hint="eastAsia"/>
        </w:rPr>
        <w:t>表</w:t>
      </w:r>
      <w:r>
        <w:t>2</w:t>
      </w:r>
      <w:r>
        <w:rPr>
          <w:rFonts w:hint="eastAsia"/>
        </w:rPr>
        <w:t xml:space="preserve"> 控制点结构（续）</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853"/>
        <w:gridCol w:w="1418"/>
        <w:gridCol w:w="610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853" w:type="dxa"/>
            <w:tcBorders>
              <w:top w:val="single" w:color="auto" w:sz="8" w:space="0"/>
              <w:bottom w:val="single" w:color="auto" w:sz="8" w:space="0"/>
            </w:tcBorders>
            <w:shd w:val="clear" w:color="auto" w:fill="auto"/>
            <w:vAlign w:val="center"/>
          </w:tcPr>
          <w:p>
            <w:pPr>
              <w:pStyle w:val="179"/>
              <w:rPr>
                <w:b/>
              </w:rPr>
            </w:pPr>
            <w:r>
              <w:rPr>
                <w:rFonts w:hint="eastAsia"/>
                <w:b/>
              </w:rPr>
              <w:t>组成</w:t>
            </w:r>
          </w:p>
        </w:tc>
        <w:tc>
          <w:tcPr>
            <w:tcW w:w="1418" w:type="dxa"/>
            <w:tcBorders>
              <w:top w:val="single" w:color="auto" w:sz="8" w:space="0"/>
              <w:bottom w:val="single" w:color="auto" w:sz="8" w:space="0"/>
            </w:tcBorders>
            <w:shd w:val="clear" w:color="auto" w:fill="auto"/>
            <w:vAlign w:val="center"/>
          </w:tcPr>
          <w:p>
            <w:pPr>
              <w:pStyle w:val="179"/>
              <w:rPr>
                <w:b/>
              </w:rPr>
            </w:pPr>
            <w:r>
              <w:rPr>
                <w:rFonts w:hint="eastAsia"/>
                <w:b/>
              </w:rPr>
              <w:t>对应控制点序号</w:t>
            </w:r>
          </w:p>
        </w:tc>
        <w:tc>
          <w:tcPr>
            <w:tcW w:w="6103" w:type="dxa"/>
            <w:tcBorders>
              <w:top w:val="single" w:color="auto" w:sz="8" w:space="0"/>
              <w:bottom w:val="single" w:color="auto" w:sz="8" w:space="0"/>
            </w:tcBorders>
            <w:shd w:val="clear" w:color="auto" w:fill="auto"/>
            <w:vAlign w:val="center"/>
          </w:tcPr>
          <w:p>
            <w:pPr>
              <w:pStyle w:val="179"/>
              <w:rPr>
                <w:b/>
              </w:rPr>
            </w:pPr>
            <w:r>
              <w:rPr>
                <w:rFonts w:hint="eastAsia"/>
                <w:b/>
              </w:rP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2032" w:hRule="atLeast"/>
          <w:tblHeader/>
          <w:jc w:val="center"/>
        </w:trPr>
        <w:tc>
          <w:tcPr>
            <w:tcW w:w="1853" w:type="dxa"/>
            <w:vMerge w:val="restart"/>
            <w:tcBorders>
              <w:top w:val="single" w:color="auto" w:sz="8" w:space="0"/>
            </w:tcBorders>
            <w:shd w:val="clear" w:color="auto" w:fill="auto"/>
            <w:vAlign w:val="center"/>
          </w:tcPr>
          <w:p>
            <w:pPr>
              <w:pStyle w:val="179"/>
              <w:jc w:val="left"/>
            </w:pPr>
            <w:r>
              <w:rPr>
                <w:rFonts w:hint="eastAsia"/>
              </w:rPr>
              <w:t>　5．物流</w:t>
            </w:r>
          </w:p>
        </w:tc>
        <w:tc>
          <w:tcPr>
            <w:tcW w:w="1418"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5</w:t>
            </w:r>
            <w:r>
              <w:rPr>
                <w:szCs w:val="18"/>
              </w:rPr>
              <w:t>.1-5.10</w:t>
            </w:r>
          </w:p>
        </w:tc>
        <w:tc>
          <w:tcPr>
            <w:tcW w:w="6103"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对所有收到的、生产的和配送的贸易单元包装进行物理标识：</w:t>
            </w:r>
          </w:p>
          <w:p>
            <w:pPr>
              <w:pStyle w:val="175"/>
              <w:numPr>
                <w:ilvl w:val="0"/>
                <w:numId w:val="63"/>
              </w:numPr>
              <w:rPr>
                <w:sz w:val="18"/>
                <w:szCs w:val="18"/>
              </w:rPr>
            </w:pPr>
            <w:r>
              <w:rPr>
                <w:rFonts w:hint="eastAsia"/>
                <w:sz w:val="18"/>
                <w:szCs w:val="18"/>
              </w:rPr>
              <w:t>全球贸易项目代码（可用GTIN）；</w:t>
            </w:r>
          </w:p>
          <w:p>
            <w:pPr>
              <w:pStyle w:val="175"/>
              <w:rPr>
                <w:sz w:val="18"/>
                <w:szCs w:val="18"/>
              </w:rPr>
            </w:pPr>
            <w:r>
              <w:rPr>
                <w:rFonts w:hint="eastAsia"/>
                <w:sz w:val="18"/>
                <w:szCs w:val="18"/>
              </w:rPr>
              <w:t>产品批次号（单品、包装箱、托盘）；</w:t>
            </w:r>
          </w:p>
          <w:p>
            <w:pPr>
              <w:pStyle w:val="175"/>
              <w:rPr>
                <w:sz w:val="18"/>
                <w:szCs w:val="18"/>
              </w:rPr>
            </w:pPr>
            <w:r>
              <w:rPr>
                <w:rFonts w:hint="eastAsia"/>
                <w:sz w:val="18"/>
                <w:szCs w:val="18"/>
              </w:rPr>
              <w:t>唯一的序列号（仅针对物流托盘级别）；</w:t>
            </w:r>
          </w:p>
          <w:p>
            <w:pPr>
              <w:pStyle w:val="175"/>
              <w:rPr>
                <w:sz w:val="18"/>
                <w:szCs w:val="18"/>
              </w:rPr>
            </w:pPr>
            <w:r>
              <w:rPr>
                <w:rFonts w:hint="eastAsia"/>
                <w:sz w:val="18"/>
                <w:szCs w:val="18"/>
              </w:rPr>
              <w:t>货运标识代码（仅针对货运单元）</w:t>
            </w:r>
          </w:p>
          <w:p>
            <w:pPr>
              <w:pStyle w:val="179"/>
              <w:jc w:val="left"/>
              <w:rPr>
                <w:szCs w:val="18"/>
              </w:rPr>
            </w:pPr>
            <w:r>
              <w:rPr>
                <w:rFonts w:hint="eastAsia"/>
                <w:szCs w:val="18"/>
              </w:rPr>
              <w:t>　5.5为</w:t>
            </w:r>
            <w:r>
              <w:t>必选</w:t>
            </w:r>
            <w:r>
              <w:rPr>
                <w:rFonts w:hint="eastAsia"/>
                <w:szCs w:val="18"/>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827" w:hRule="atLeast"/>
          <w:tblHeader/>
          <w:jc w:val="center"/>
        </w:trPr>
        <w:tc>
          <w:tcPr>
            <w:tcW w:w="1853" w:type="dxa"/>
            <w:vMerge w:val="continue"/>
            <w:tcBorders>
              <w:bottom w:val="single" w:color="auto" w:sz="8" w:space="0"/>
            </w:tcBorders>
            <w:shd w:val="clear" w:color="auto" w:fill="auto"/>
            <w:vAlign w:val="center"/>
          </w:tcPr>
          <w:p>
            <w:pPr>
              <w:pStyle w:val="179"/>
              <w:rPr>
                <w:b/>
              </w:rPr>
            </w:pPr>
          </w:p>
        </w:tc>
        <w:tc>
          <w:tcPr>
            <w:tcW w:w="1418" w:type="dxa"/>
            <w:tcBorders>
              <w:top w:val="single" w:color="auto" w:sz="8" w:space="0"/>
              <w:bottom w:val="single" w:color="auto" w:sz="8" w:space="0"/>
            </w:tcBorders>
            <w:shd w:val="clear" w:color="auto" w:fill="auto"/>
            <w:vAlign w:val="center"/>
          </w:tcPr>
          <w:p>
            <w:pPr>
              <w:pStyle w:val="179"/>
              <w:jc w:val="left"/>
            </w:pPr>
            <w:r>
              <w:rPr>
                <w:rFonts w:hint="eastAsia"/>
                <w:szCs w:val="18"/>
              </w:rPr>
              <w:t>　</w:t>
            </w:r>
            <w:r>
              <w:rPr>
                <w:rFonts w:hint="eastAsia"/>
              </w:rPr>
              <w:t>5</w:t>
            </w:r>
            <w:r>
              <w:t>.11-5.12</w:t>
            </w:r>
          </w:p>
        </w:tc>
        <w:tc>
          <w:tcPr>
            <w:tcW w:w="6103" w:type="dxa"/>
            <w:tcBorders>
              <w:top w:val="single" w:color="auto" w:sz="8" w:space="0"/>
              <w:bottom w:val="single" w:color="auto" w:sz="8" w:space="0"/>
            </w:tcBorders>
            <w:shd w:val="clear" w:color="auto" w:fill="auto"/>
            <w:vAlign w:val="center"/>
          </w:tcPr>
          <w:p>
            <w:pPr>
              <w:pStyle w:val="179"/>
              <w:jc w:val="left"/>
            </w:pPr>
            <w:r>
              <w:rPr>
                <w:rFonts w:hint="eastAsia"/>
              </w:rPr>
              <w:t>　生产流程和追溯流程文件</w:t>
            </w:r>
          </w:p>
          <w:p>
            <w:pPr>
              <w:pStyle w:val="179"/>
              <w:jc w:val="left"/>
            </w:pPr>
            <w:r>
              <w:rPr>
                <w:rFonts w:hint="eastAsia"/>
              </w:rPr>
              <w:t>　5</w:t>
            </w:r>
            <w:r>
              <w:t>.11</w:t>
            </w:r>
            <w:r>
              <w:rPr>
                <w:rFonts w:hint="eastAsia"/>
              </w:rPr>
              <w:t>、5</w:t>
            </w:r>
            <w:r>
              <w:t>.12</w:t>
            </w:r>
            <w:r>
              <w:rPr>
                <w:rFonts w:hint="eastAsia"/>
              </w:rPr>
              <w:t>为</w:t>
            </w:r>
            <w:r>
              <w:t>必选</w:t>
            </w:r>
            <w:r>
              <w:rPr>
                <w:rFonts w:hint="eastAsia"/>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4935" w:hRule="atLeast"/>
          <w:tblHeader/>
          <w:jc w:val="center"/>
        </w:trPr>
        <w:tc>
          <w:tcPr>
            <w:tcW w:w="1853" w:type="dxa"/>
            <w:vMerge w:val="restart"/>
            <w:tcBorders>
              <w:top w:val="single" w:color="auto" w:sz="8" w:space="0"/>
            </w:tcBorders>
            <w:shd w:val="clear" w:color="auto" w:fill="auto"/>
            <w:vAlign w:val="center"/>
          </w:tcPr>
          <w:p>
            <w:pPr>
              <w:pStyle w:val="179"/>
              <w:jc w:val="left"/>
              <w:rPr>
                <w:szCs w:val="18"/>
              </w:rPr>
            </w:pPr>
            <w:r>
              <w:rPr>
                <w:rFonts w:hint="eastAsia"/>
                <w:szCs w:val="18"/>
              </w:rPr>
              <w:t>　6．信息要求</w:t>
            </w:r>
          </w:p>
        </w:tc>
        <w:tc>
          <w:tcPr>
            <w:tcW w:w="1418"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6</w:t>
            </w:r>
            <w:r>
              <w:rPr>
                <w:szCs w:val="18"/>
              </w:rPr>
              <w:t>.1-6.8</w:t>
            </w:r>
          </w:p>
        </w:tc>
        <w:tc>
          <w:tcPr>
            <w:tcW w:w="6103" w:type="dxa"/>
            <w:tcBorders>
              <w:top w:val="single" w:color="auto" w:sz="8" w:space="0"/>
              <w:bottom w:val="single" w:color="auto" w:sz="8" w:space="0"/>
            </w:tcBorders>
            <w:shd w:val="clear" w:color="auto" w:fill="auto"/>
            <w:vAlign w:val="center"/>
          </w:tcPr>
          <w:p>
            <w:pPr>
              <w:pStyle w:val="179"/>
              <w:jc w:val="left"/>
            </w:pPr>
            <w:r>
              <w:rPr>
                <w:rFonts w:hint="eastAsia"/>
              </w:rPr>
              <w:t>　对所有贸易伙伴生产的、收到的和配送的可追溯项目的最小可追溯相关信息进行标识，标识的信息包括：</w:t>
            </w:r>
          </w:p>
          <w:p>
            <w:pPr>
              <w:pStyle w:val="175"/>
              <w:numPr>
                <w:ilvl w:val="0"/>
                <w:numId w:val="64"/>
              </w:numPr>
              <w:rPr>
                <w:sz w:val="18"/>
                <w:szCs w:val="18"/>
              </w:rPr>
            </w:pPr>
            <w:r>
              <w:rPr>
                <w:rFonts w:hint="eastAsia"/>
                <w:sz w:val="18"/>
                <w:szCs w:val="18"/>
              </w:rPr>
              <w:t>货运标识代码（仅针对货运单元）；</w:t>
            </w:r>
          </w:p>
          <w:p>
            <w:pPr>
              <w:pStyle w:val="175"/>
              <w:rPr>
                <w:sz w:val="18"/>
                <w:szCs w:val="18"/>
              </w:rPr>
            </w:pPr>
            <w:r>
              <w:rPr>
                <w:rFonts w:hint="eastAsia"/>
                <w:sz w:val="18"/>
                <w:szCs w:val="18"/>
              </w:rPr>
              <w:t>物流单元编码或SSCC；</w:t>
            </w:r>
          </w:p>
          <w:p>
            <w:pPr>
              <w:pStyle w:val="175"/>
              <w:rPr>
                <w:sz w:val="18"/>
                <w:szCs w:val="18"/>
              </w:rPr>
            </w:pPr>
            <w:r>
              <w:rPr>
                <w:rFonts w:hint="eastAsia"/>
                <w:sz w:val="18"/>
                <w:szCs w:val="18"/>
              </w:rPr>
              <w:t>贸易单元编码或GTIN；</w:t>
            </w:r>
          </w:p>
          <w:p>
            <w:pPr>
              <w:pStyle w:val="175"/>
              <w:rPr>
                <w:sz w:val="18"/>
                <w:szCs w:val="18"/>
              </w:rPr>
            </w:pPr>
            <w:r>
              <w:rPr>
                <w:rFonts w:hint="eastAsia"/>
                <w:sz w:val="18"/>
                <w:szCs w:val="18"/>
              </w:rPr>
              <w:t>产品批次号（单品、贸易单元、包装箱、托盘各层级）；</w:t>
            </w:r>
          </w:p>
          <w:p>
            <w:pPr>
              <w:pStyle w:val="175"/>
              <w:rPr>
                <w:sz w:val="18"/>
                <w:szCs w:val="18"/>
              </w:rPr>
            </w:pPr>
            <w:r>
              <w:rPr>
                <w:rFonts w:hint="eastAsia"/>
                <w:sz w:val="18"/>
                <w:szCs w:val="18"/>
              </w:rPr>
              <w:t>序列号（单品、贸易单元、包装箱、托盘各层级）。</w:t>
            </w:r>
          </w:p>
          <w:p>
            <w:pPr>
              <w:pStyle w:val="175"/>
              <w:numPr>
                <w:ilvl w:val="0"/>
                <w:numId w:val="0"/>
              </w:numPr>
              <w:rPr>
                <w:sz w:val="18"/>
                <w:szCs w:val="18"/>
              </w:rPr>
            </w:pPr>
            <w:r>
              <w:rPr>
                <w:rFonts w:hint="eastAsia"/>
                <w:sz w:val="18"/>
                <w:szCs w:val="18"/>
              </w:rPr>
              <w:t>　每个被标识的追溯项目，可以进一步由属性字段描述，包括但不限于：</w:t>
            </w:r>
          </w:p>
          <w:p>
            <w:pPr>
              <w:pStyle w:val="175"/>
              <w:numPr>
                <w:ilvl w:val="0"/>
                <w:numId w:val="65"/>
              </w:numPr>
              <w:rPr>
                <w:sz w:val="18"/>
                <w:szCs w:val="18"/>
              </w:rPr>
            </w:pPr>
            <w:r>
              <w:rPr>
                <w:rFonts w:hint="eastAsia"/>
                <w:sz w:val="18"/>
                <w:szCs w:val="18"/>
              </w:rPr>
              <w:t>数量；</w:t>
            </w:r>
          </w:p>
          <w:p>
            <w:pPr>
              <w:pStyle w:val="175"/>
              <w:rPr>
                <w:sz w:val="18"/>
                <w:szCs w:val="18"/>
              </w:rPr>
            </w:pPr>
            <w:r>
              <w:rPr>
                <w:rFonts w:hint="eastAsia"/>
                <w:sz w:val="18"/>
                <w:szCs w:val="18"/>
              </w:rPr>
              <w:t>日期代码（包括销售日期，最佳食用日期，有效期，包装日期，生产日期）；</w:t>
            </w:r>
          </w:p>
          <w:p>
            <w:pPr>
              <w:pStyle w:val="175"/>
              <w:rPr>
                <w:sz w:val="18"/>
                <w:szCs w:val="18"/>
              </w:rPr>
            </w:pPr>
            <w:r>
              <w:rPr>
                <w:rFonts w:hint="eastAsia"/>
                <w:sz w:val="18"/>
                <w:szCs w:val="18"/>
              </w:rPr>
              <w:t>追溯项目接收方和（或）供应商；</w:t>
            </w:r>
          </w:p>
          <w:p>
            <w:pPr>
              <w:pStyle w:val="175"/>
              <w:rPr>
                <w:sz w:val="18"/>
                <w:szCs w:val="18"/>
              </w:rPr>
            </w:pPr>
            <w:r>
              <w:rPr>
                <w:rFonts w:hint="eastAsia"/>
                <w:sz w:val="18"/>
                <w:szCs w:val="18"/>
              </w:rPr>
              <w:t>发货日期和发货文件。</w:t>
            </w:r>
          </w:p>
          <w:p>
            <w:pPr>
              <w:pStyle w:val="179"/>
              <w:jc w:val="left"/>
            </w:pPr>
            <w:r>
              <w:rPr>
                <w:rFonts w:hint="eastAsia"/>
              </w:rPr>
              <w:t>　</w:t>
            </w:r>
            <w:r>
              <w:t>每个</w:t>
            </w:r>
            <w:r>
              <w:rPr>
                <w:rFonts w:hint="eastAsia"/>
              </w:rPr>
              <w:t>参与方的识别号或GLN可以和属性信息关联，例如地址和电话号码</w:t>
            </w:r>
          </w:p>
          <w:p>
            <w:pPr>
              <w:pStyle w:val="179"/>
              <w:jc w:val="left"/>
            </w:pPr>
            <w:r>
              <w:rPr>
                <w:rFonts w:hint="eastAsia"/>
              </w:rPr>
              <w:t>　6</w:t>
            </w:r>
            <w:r>
              <w:t>.4</w:t>
            </w:r>
            <w:r>
              <w:rPr>
                <w:rFonts w:hint="eastAsia"/>
              </w:rPr>
              <w:t>、6</w:t>
            </w:r>
            <w:r>
              <w:t>.5为必选项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554" w:hRule="atLeast"/>
          <w:tblHeader/>
          <w:jc w:val="center"/>
        </w:trPr>
        <w:tc>
          <w:tcPr>
            <w:tcW w:w="1853" w:type="dxa"/>
            <w:vMerge w:val="continue"/>
            <w:shd w:val="clear" w:color="auto" w:fill="auto"/>
            <w:vAlign w:val="center"/>
          </w:tcPr>
          <w:p>
            <w:pPr>
              <w:pStyle w:val="179"/>
              <w:rPr>
                <w:b/>
              </w:rPr>
            </w:pPr>
          </w:p>
        </w:tc>
        <w:tc>
          <w:tcPr>
            <w:tcW w:w="1418"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6</w:t>
            </w:r>
            <w:r>
              <w:rPr>
                <w:szCs w:val="18"/>
              </w:rPr>
              <w:t>.9-6.10</w:t>
            </w:r>
          </w:p>
        </w:tc>
        <w:tc>
          <w:tcPr>
            <w:tcW w:w="6103" w:type="dxa"/>
            <w:tcBorders>
              <w:top w:val="single" w:color="auto" w:sz="8" w:space="0"/>
              <w:bottom w:val="single" w:color="auto" w:sz="8" w:space="0"/>
            </w:tcBorders>
            <w:shd w:val="clear" w:color="auto" w:fill="auto"/>
            <w:vAlign w:val="center"/>
          </w:tcPr>
          <w:p>
            <w:pPr>
              <w:pStyle w:val="179"/>
              <w:jc w:val="left"/>
            </w:pPr>
            <w:r>
              <w:rPr>
                <w:rFonts w:hint="eastAsia"/>
              </w:rPr>
              <w:t>　内部管理系统中追溯项目的输入、输出信息相关联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831" w:hRule="atLeast"/>
          <w:tblHeader/>
          <w:jc w:val="center"/>
        </w:trPr>
        <w:tc>
          <w:tcPr>
            <w:tcW w:w="1853" w:type="dxa"/>
            <w:vMerge w:val="continue"/>
            <w:tcBorders>
              <w:bottom w:val="single" w:color="auto" w:sz="8" w:space="0"/>
            </w:tcBorders>
            <w:shd w:val="clear" w:color="auto" w:fill="auto"/>
            <w:vAlign w:val="center"/>
          </w:tcPr>
          <w:p>
            <w:pPr>
              <w:pStyle w:val="179"/>
              <w:rPr>
                <w:b/>
              </w:rPr>
            </w:pPr>
          </w:p>
        </w:tc>
        <w:tc>
          <w:tcPr>
            <w:tcW w:w="1418"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6</w:t>
            </w:r>
            <w:r>
              <w:rPr>
                <w:szCs w:val="18"/>
              </w:rPr>
              <w:t>.11-6.14</w:t>
            </w:r>
          </w:p>
        </w:tc>
        <w:tc>
          <w:tcPr>
            <w:tcW w:w="6103" w:type="dxa"/>
            <w:tcBorders>
              <w:top w:val="single" w:color="auto" w:sz="8" w:space="0"/>
              <w:bottom w:val="single" w:color="auto" w:sz="8" w:space="0"/>
            </w:tcBorders>
            <w:shd w:val="clear" w:color="auto" w:fill="auto"/>
            <w:vAlign w:val="center"/>
          </w:tcPr>
          <w:p>
            <w:pPr>
              <w:pStyle w:val="179"/>
              <w:jc w:val="left"/>
            </w:pPr>
            <w:r>
              <w:rPr>
                <w:rFonts w:hint="eastAsia"/>
              </w:rPr>
              <w:t>　与外部贸易伙伴共享追溯信息</w:t>
            </w:r>
          </w:p>
          <w:p>
            <w:pPr>
              <w:pStyle w:val="179"/>
              <w:jc w:val="left"/>
            </w:pPr>
            <w:r>
              <w:rPr>
                <w:rFonts w:hint="eastAsia"/>
              </w:rPr>
              <w:t>　6.12为</w:t>
            </w:r>
            <w:r>
              <w:t>必选</w:t>
            </w:r>
            <w:r>
              <w:rPr>
                <w:rFonts w:hint="eastAsia"/>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832" w:hRule="atLeast"/>
          <w:tblHeader/>
          <w:jc w:val="center"/>
        </w:trPr>
        <w:tc>
          <w:tcPr>
            <w:tcW w:w="1853" w:type="dxa"/>
            <w:vMerge w:val="restart"/>
            <w:tcBorders>
              <w:top w:val="single" w:color="auto" w:sz="8" w:space="0"/>
            </w:tcBorders>
            <w:shd w:val="clear" w:color="auto" w:fill="auto"/>
            <w:vAlign w:val="center"/>
          </w:tcPr>
          <w:p>
            <w:pPr>
              <w:pStyle w:val="179"/>
              <w:jc w:val="left"/>
              <w:rPr>
                <w:szCs w:val="18"/>
              </w:rPr>
            </w:pPr>
            <w:r>
              <w:rPr>
                <w:rFonts w:hint="eastAsia"/>
                <w:szCs w:val="18"/>
              </w:rPr>
              <w:t>　7．文件要求</w:t>
            </w:r>
          </w:p>
        </w:tc>
        <w:tc>
          <w:tcPr>
            <w:tcW w:w="1418"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7</w:t>
            </w:r>
            <w:r>
              <w:rPr>
                <w:szCs w:val="18"/>
              </w:rPr>
              <w:t>.1-7.2</w:t>
            </w:r>
          </w:p>
        </w:tc>
        <w:tc>
          <w:tcPr>
            <w:tcW w:w="6103" w:type="dxa"/>
            <w:tcBorders>
              <w:top w:val="single" w:color="auto" w:sz="8" w:space="0"/>
              <w:bottom w:val="single" w:color="auto" w:sz="8" w:space="0"/>
            </w:tcBorders>
            <w:shd w:val="clear" w:color="auto" w:fill="auto"/>
            <w:vAlign w:val="center"/>
          </w:tcPr>
          <w:p>
            <w:pPr>
              <w:pStyle w:val="179"/>
              <w:jc w:val="left"/>
            </w:pPr>
            <w:r>
              <w:rPr>
                <w:rFonts w:hint="eastAsia"/>
              </w:rPr>
              <w:t>　记录所有追溯活动的相关角色、职责、组织架构及追溯过程的文件</w:t>
            </w:r>
          </w:p>
          <w:p>
            <w:pPr>
              <w:pStyle w:val="179"/>
              <w:jc w:val="left"/>
            </w:pPr>
            <w:r>
              <w:rPr>
                <w:rFonts w:hint="eastAsia"/>
              </w:rPr>
              <w:t>　7.1、7.2为</w:t>
            </w:r>
            <w:r>
              <w:t>必选</w:t>
            </w:r>
            <w:r>
              <w:rPr>
                <w:rFonts w:hint="eastAsia"/>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791" w:hRule="atLeast"/>
          <w:tblHeader/>
          <w:jc w:val="center"/>
        </w:trPr>
        <w:tc>
          <w:tcPr>
            <w:tcW w:w="1853" w:type="dxa"/>
            <w:vMerge w:val="continue"/>
            <w:tcBorders>
              <w:bottom w:val="single" w:color="auto" w:sz="8" w:space="0"/>
            </w:tcBorders>
            <w:shd w:val="clear" w:color="auto" w:fill="auto"/>
            <w:vAlign w:val="center"/>
          </w:tcPr>
          <w:p>
            <w:pPr>
              <w:pStyle w:val="179"/>
              <w:rPr>
                <w:b/>
              </w:rPr>
            </w:pPr>
          </w:p>
        </w:tc>
        <w:tc>
          <w:tcPr>
            <w:tcW w:w="1418"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7</w:t>
            </w:r>
            <w:r>
              <w:rPr>
                <w:szCs w:val="18"/>
              </w:rPr>
              <w:t>.3-7.5</w:t>
            </w:r>
          </w:p>
        </w:tc>
        <w:tc>
          <w:tcPr>
            <w:tcW w:w="6103" w:type="dxa"/>
            <w:tcBorders>
              <w:top w:val="single" w:color="auto" w:sz="8" w:space="0"/>
              <w:bottom w:val="single" w:color="auto" w:sz="8" w:space="0"/>
            </w:tcBorders>
            <w:shd w:val="clear" w:color="auto" w:fill="auto"/>
            <w:vAlign w:val="center"/>
          </w:tcPr>
          <w:p>
            <w:pPr>
              <w:pStyle w:val="179"/>
              <w:jc w:val="left"/>
            </w:pPr>
            <w:r>
              <w:rPr>
                <w:rFonts w:hint="eastAsia"/>
              </w:rPr>
              <w:t>　追溯文档和追溯记录的维护</w:t>
            </w:r>
          </w:p>
          <w:p>
            <w:pPr>
              <w:pStyle w:val="179"/>
              <w:jc w:val="left"/>
            </w:pPr>
            <w:r>
              <w:rPr>
                <w:rFonts w:hint="eastAsia"/>
              </w:rPr>
              <w:t>　7.3、7.4为</w:t>
            </w:r>
            <w:r>
              <w:t>必选</w:t>
            </w:r>
            <w:r>
              <w:rPr>
                <w:rFonts w:hint="eastAsia"/>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870" w:hRule="atLeast"/>
          <w:tblHeader/>
          <w:jc w:val="center"/>
        </w:trPr>
        <w:tc>
          <w:tcPr>
            <w:tcW w:w="1853"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8．结构和职责</w:t>
            </w:r>
          </w:p>
        </w:tc>
        <w:tc>
          <w:tcPr>
            <w:tcW w:w="1418"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8</w:t>
            </w:r>
            <w:r>
              <w:rPr>
                <w:szCs w:val="18"/>
              </w:rPr>
              <w:t>.1-8.3</w:t>
            </w:r>
          </w:p>
        </w:tc>
        <w:tc>
          <w:tcPr>
            <w:tcW w:w="6103"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追溯工作人员对追溯程序有一定的认知</w:t>
            </w:r>
          </w:p>
          <w:p>
            <w:pPr>
              <w:pStyle w:val="179"/>
              <w:jc w:val="left"/>
              <w:rPr>
                <w:szCs w:val="18"/>
              </w:rPr>
            </w:pPr>
            <w:r>
              <w:rPr>
                <w:rFonts w:hint="eastAsia"/>
                <w:szCs w:val="18"/>
              </w:rPr>
              <w:t>　8.1、8.2、8.3为</w:t>
            </w:r>
            <w:r>
              <w:t>必选</w:t>
            </w:r>
            <w:r>
              <w:rPr>
                <w:rFonts w:hint="eastAsia"/>
                <w:szCs w:val="18"/>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831" w:hRule="atLeast"/>
          <w:tblHeader/>
          <w:jc w:val="center"/>
        </w:trPr>
        <w:tc>
          <w:tcPr>
            <w:tcW w:w="1853"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9．培训</w:t>
            </w:r>
          </w:p>
        </w:tc>
        <w:tc>
          <w:tcPr>
            <w:tcW w:w="1418"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9</w:t>
            </w:r>
            <w:r>
              <w:rPr>
                <w:szCs w:val="18"/>
              </w:rPr>
              <w:t>.1-9.2</w:t>
            </w:r>
          </w:p>
        </w:tc>
        <w:tc>
          <w:tcPr>
            <w:tcW w:w="6103"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负责追溯工作人员的培训计划和接受培训证明</w:t>
            </w:r>
          </w:p>
          <w:p>
            <w:pPr>
              <w:pStyle w:val="179"/>
              <w:jc w:val="left"/>
              <w:rPr>
                <w:szCs w:val="18"/>
              </w:rPr>
            </w:pPr>
            <w:r>
              <w:rPr>
                <w:rFonts w:hint="eastAsia"/>
                <w:szCs w:val="18"/>
              </w:rPr>
              <w:t>　9.1为</w:t>
            </w:r>
            <w:r>
              <w:t>必选</w:t>
            </w:r>
            <w:r>
              <w:rPr>
                <w:rFonts w:hint="eastAsia"/>
                <w:szCs w:val="18"/>
              </w:rPr>
              <w:t>项</w:t>
            </w:r>
          </w:p>
        </w:tc>
      </w:tr>
    </w:tbl>
    <w:p>
      <w:pPr>
        <w:pStyle w:val="57"/>
        <w:ind w:firstLine="420"/>
        <w:jc w:val="center"/>
      </w:pPr>
      <w:r>
        <w:rPr>
          <w:rFonts w:hint="eastAsia"/>
        </w:rPr>
        <w:t>表</w:t>
      </w:r>
      <w:r>
        <w:t>2</w:t>
      </w:r>
      <w:r>
        <w:rPr>
          <w:rFonts w:hint="eastAsia"/>
        </w:rPr>
        <w:t xml:space="preserve"> 控制点结构（续）</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853"/>
        <w:gridCol w:w="1418"/>
        <w:gridCol w:w="610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853" w:type="dxa"/>
            <w:tcBorders>
              <w:top w:val="single" w:color="auto" w:sz="8" w:space="0"/>
              <w:bottom w:val="single" w:color="auto" w:sz="8" w:space="0"/>
            </w:tcBorders>
            <w:shd w:val="clear" w:color="auto" w:fill="auto"/>
            <w:vAlign w:val="center"/>
          </w:tcPr>
          <w:p>
            <w:pPr>
              <w:pStyle w:val="179"/>
              <w:rPr>
                <w:b/>
              </w:rPr>
            </w:pPr>
            <w:r>
              <w:rPr>
                <w:rFonts w:hint="eastAsia"/>
                <w:b/>
              </w:rPr>
              <w:t>组成</w:t>
            </w:r>
          </w:p>
        </w:tc>
        <w:tc>
          <w:tcPr>
            <w:tcW w:w="1418" w:type="dxa"/>
            <w:tcBorders>
              <w:top w:val="single" w:color="auto" w:sz="8" w:space="0"/>
              <w:bottom w:val="single" w:color="auto" w:sz="8" w:space="0"/>
            </w:tcBorders>
            <w:shd w:val="clear" w:color="auto" w:fill="auto"/>
            <w:vAlign w:val="center"/>
          </w:tcPr>
          <w:p>
            <w:pPr>
              <w:pStyle w:val="179"/>
              <w:rPr>
                <w:b/>
              </w:rPr>
            </w:pPr>
            <w:r>
              <w:rPr>
                <w:rFonts w:hint="eastAsia"/>
                <w:b/>
              </w:rPr>
              <w:t>对应控制点序号</w:t>
            </w:r>
          </w:p>
        </w:tc>
        <w:tc>
          <w:tcPr>
            <w:tcW w:w="6103" w:type="dxa"/>
            <w:tcBorders>
              <w:top w:val="single" w:color="auto" w:sz="8" w:space="0"/>
              <w:bottom w:val="single" w:color="auto" w:sz="8" w:space="0"/>
            </w:tcBorders>
            <w:shd w:val="clear" w:color="auto" w:fill="auto"/>
            <w:vAlign w:val="center"/>
          </w:tcPr>
          <w:p>
            <w:pPr>
              <w:pStyle w:val="179"/>
              <w:rPr>
                <w:b/>
              </w:rPr>
            </w:pPr>
            <w:r>
              <w:rPr>
                <w:rFonts w:hint="eastAsia"/>
                <w:b/>
              </w:rP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853" w:type="dxa"/>
            <w:vMerge w:val="restart"/>
            <w:tcBorders>
              <w:top w:val="single" w:color="auto" w:sz="8" w:space="0"/>
            </w:tcBorders>
            <w:shd w:val="clear" w:color="auto" w:fill="auto"/>
            <w:vAlign w:val="center"/>
          </w:tcPr>
          <w:p>
            <w:pPr>
              <w:pStyle w:val="179"/>
              <w:jc w:val="left"/>
              <w:rPr>
                <w:b/>
              </w:rPr>
            </w:pPr>
            <w:r>
              <w:rPr>
                <w:rFonts w:hint="eastAsia"/>
                <w:szCs w:val="18"/>
              </w:rPr>
              <w:t>　1</w:t>
            </w:r>
            <w:r>
              <w:rPr>
                <w:szCs w:val="18"/>
              </w:rPr>
              <w:t>0</w:t>
            </w:r>
            <w:r>
              <w:rPr>
                <w:rFonts w:hint="eastAsia"/>
                <w:szCs w:val="18"/>
              </w:rPr>
              <w:t>．</w:t>
            </w:r>
            <w:r>
              <w:rPr>
                <w:szCs w:val="18"/>
              </w:rPr>
              <w:t>供应链协作</w:t>
            </w:r>
          </w:p>
        </w:tc>
        <w:tc>
          <w:tcPr>
            <w:tcW w:w="1418"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1</w:t>
            </w:r>
            <w:r>
              <w:rPr>
                <w:szCs w:val="18"/>
              </w:rPr>
              <w:t>0.1</w:t>
            </w:r>
          </w:p>
        </w:tc>
        <w:tc>
          <w:tcPr>
            <w:tcW w:w="6103"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从贸易伙伴处获得如下追溯信息：</w:t>
            </w:r>
          </w:p>
          <w:p>
            <w:pPr>
              <w:pStyle w:val="175"/>
              <w:numPr>
                <w:ilvl w:val="0"/>
                <w:numId w:val="66"/>
              </w:numPr>
              <w:rPr>
                <w:sz w:val="18"/>
                <w:szCs w:val="18"/>
              </w:rPr>
            </w:pPr>
            <w:r>
              <w:rPr>
                <w:rFonts w:hint="eastAsia"/>
                <w:sz w:val="18"/>
                <w:szCs w:val="18"/>
              </w:rPr>
              <w:t>贸易项目代码（可用GTIN）；</w:t>
            </w:r>
          </w:p>
          <w:p>
            <w:pPr>
              <w:pStyle w:val="175"/>
              <w:rPr>
                <w:sz w:val="18"/>
                <w:szCs w:val="18"/>
              </w:rPr>
            </w:pPr>
            <w:r>
              <w:rPr>
                <w:rFonts w:hint="eastAsia"/>
                <w:sz w:val="18"/>
                <w:szCs w:val="18"/>
              </w:rPr>
              <w:t>数量；</w:t>
            </w:r>
          </w:p>
          <w:p>
            <w:pPr>
              <w:pStyle w:val="175"/>
              <w:rPr>
                <w:sz w:val="18"/>
                <w:szCs w:val="18"/>
              </w:rPr>
            </w:pPr>
            <w:r>
              <w:rPr>
                <w:rFonts w:hint="eastAsia"/>
                <w:sz w:val="18"/>
                <w:szCs w:val="18"/>
              </w:rPr>
              <w:t>生产日期；</w:t>
            </w:r>
          </w:p>
          <w:p>
            <w:pPr>
              <w:pStyle w:val="175"/>
              <w:rPr>
                <w:sz w:val="18"/>
                <w:szCs w:val="18"/>
              </w:rPr>
            </w:pPr>
            <w:r>
              <w:rPr>
                <w:rFonts w:hint="eastAsia"/>
                <w:sz w:val="18"/>
                <w:szCs w:val="18"/>
              </w:rPr>
              <w:t>发货日期；</w:t>
            </w:r>
          </w:p>
          <w:p>
            <w:pPr>
              <w:pStyle w:val="175"/>
              <w:rPr>
                <w:sz w:val="18"/>
                <w:szCs w:val="18"/>
              </w:rPr>
            </w:pPr>
            <w:r>
              <w:rPr>
                <w:rFonts w:hint="eastAsia"/>
                <w:sz w:val="18"/>
                <w:szCs w:val="18"/>
              </w:rPr>
              <w:t>物流商名称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853" w:type="dxa"/>
            <w:vMerge w:val="continue"/>
            <w:tcBorders>
              <w:bottom w:val="single" w:color="auto" w:sz="8" w:space="0"/>
            </w:tcBorders>
            <w:shd w:val="clear" w:color="auto" w:fill="auto"/>
            <w:vAlign w:val="center"/>
          </w:tcPr>
          <w:p>
            <w:pPr>
              <w:pStyle w:val="179"/>
              <w:rPr>
                <w:b/>
              </w:rPr>
            </w:pPr>
          </w:p>
        </w:tc>
        <w:tc>
          <w:tcPr>
            <w:tcW w:w="1418"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1</w:t>
            </w:r>
            <w:r>
              <w:rPr>
                <w:szCs w:val="18"/>
              </w:rPr>
              <w:t>0.2-10.6</w:t>
            </w:r>
          </w:p>
        </w:tc>
        <w:tc>
          <w:tcPr>
            <w:tcW w:w="6103"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针对潜在的安全隐患，制定包括交流与沟通的组织架构、职责和程序的文件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853" w:type="dxa"/>
            <w:tcBorders>
              <w:top w:val="single" w:color="auto" w:sz="8" w:space="0"/>
              <w:bottom w:val="single" w:color="auto" w:sz="8" w:space="0"/>
            </w:tcBorders>
            <w:shd w:val="clear" w:color="auto" w:fill="auto"/>
            <w:vAlign w:val="center"/>
          </w:tcPr>
          <w:p>
            <w:pPr>
              <w:pStyle w:val="179"/>
              <w:jc w:val="left"/>
              <w:rPr>
                <w:b/>
              </w:rPr>
            </w:pPr>
            <w:r>
              <w:rPr>
                <w:rFonts w:hint="eastAsia"/>
              </w:rPr>
              <w:t>　1</w:t>
            </w:r>
            <w:r>
              <w:t>1</w:t>
            </w:r>
            <w:r>
              <w:rPr>
                <w:rFonts w:hint="eastAsia"/>
              </w:rPr>
              <w:t>．</w:t>
            </w:r>
            <w:r>
              <w:t>监控</w:t>
            </w:r>
          </w:p>
        </w:tc>
        <w:tc>
          <w:tcPr>
            <w:tcW w:w="1418" w:type="dxa"/>
            <w:tcBorders>
              <w:top w:val="single" w:color="auto" w:sz="8" w:space="0"/>
              <w:bottom w:val="single" w:color="auto" w:sz="8" w:space="0"/>
            </w:tcBorders>
            <w:shd w:val="clear" w:color="auto" w:fill="auto"/>
            <w:vAlign w:val="center"/>
          </w:tcPr>
          <w:p>
            <w:pPr>
              <w:pStyle w:val="179"/>
              <w:jc w:val="left"/>
            </w:pPr>
            <w:r>
              <w:rPr>
                <w:rFonts w:hint="eastAsia"/>
                <w:szCs w:val="18"/>
              </w:rPr>
              <w:t>　</w:t>
            </w:r>
            <w:r>
              <w:rPr>
                <w:rFonts w:hint="eastAsia"/>
              </w:rPr>
              <w:t>1</w:t>
            </w:r>
            <w:r>
              <w:t>1.1-11.2</w:t>
            </w:r>
          </w:p>
        </w:tc>
        <w:tc>
          <w:tcPr>
            <w:tcW w:w="6103"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采用现有监管和控制计划检查追溯程序的效果</w:t>
            </w:r>
          </w:p>
          <w:p>
            <w:pPr>
              <w:pStyle w:val="179"/>
              <w:jc w:val="left"/>
              <w:rPr>
                <w:szCs w:val="18"/>
              </w:rPr>
            </w:pPr>
            <w:r>
              <w:rPr>
                <w:rFonts w:hint="eastAsia"/>
                <w:szCs w:val="18"/>
              </w:rPr>
              <w:t>　11.1为</w:t>
            </w:r>
            <w:r>
              <w:t>必选</w:t>
            </w:r>
            <w:r>
              <w:rPr>
                <w:rFonts w:hint="eastAsia"/>
                <w:szCs w:val="18"/>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853" w:type="dxa"/>
            <w:vMerge w:val="restart"/>
            <w:tcBorders>
              <w:top w:val="single" w:color="auto" w:sz="8" w:space="0"/>
            </w:tcBorders>
            <w:shd w:val="clear" w:color="auto" w:fill="auto"/>
            <w:vAlign w:val="center"/>
          </w:tcPr>
          <w:p>
            <w:pPr>
              <w:pStyle w:val="179"/>
              <w:jc w:val="left"/>
              <w:rPr>
                <w:b/>
              </w:rPr>
            </w:pPr>
            <w:r>
              <w:rPr>
                <w:rFonts w:hint="eastAsia"/>
              </w:rPr>
              <w:t>　1</w:t>
            </w:r>
            <w:r>
              <w:t>2</w:t>
            </w:r>
            <w:r>
              <w:rPr>
                <w:rFonts w:hint="eastAsia"/>
              </w:rPr>
              <w:t>．</w:t>
            </w:r>
            <w:r>
              <w:t>内部和外部审</w:t>
            </w:r>
          </w:p>
        </w:tc>
        <w:tc>
          <w:tcPr>
            <w:tcW w:w="1418" w:type="dxa"/>
            <w:tcBorders>
              <w:top w:val="single" w:color="auto" w:sz="8" w:space="0"/>
              <w:bottom w:val="single" w:color="auto" w:sz="8" w:space="0"/>
            </w:tcBorders>
            <w:shd w:val="clear" w:color="auto" w:fill="auto"/>
            <w:vAlign w:val="center"/>
          </w:tcPr>
          <w:p>
            <w:pPr>
              <w:pStyle w:val="179"/>
              <w:jc w:val="left"/>
            </w:pPr>
            <w:r>
              <w:rPr>
                <w:rFonts w:hint="eastAsia"/>
                <w:szCs w:val="18"/>
              </w:rPr>
              <w:t>　</w:t>
            </w:r>
            <w:r>
              <w:rPr>
                <w:rFonts w:hint="eastAsia"/>
              </w:rPr>
              <w:t>1</w:t>
            </w:r>
            <w:r>
              <w:t>2.1-12.2</w:t>
            </w:r>
          </w:p>
        </w:tc>
        <w:tc>
          <w:tcPr>
            <w:tcW w:w="6103" w:type="dxa"/>
            <w:tcBorders>
              <w:top w:val="single" w:color="auto" w:sz="8" w:space="0"/>
              <w:bottom w:val="single" w:color="auto" w:sz="8" w:space="0"/>
            </w:tcBorders>
            <w:shd w:val="clear" w:color="auto" w:fill="auto"/>
            <w:vAlign w:val="center"/>
          </w:tcPr>
          <w:p>
            <w:pPr>
              <w:pStyle w:val="179"/>
              <w:jc w:val="left"/>
              <w:rPr>
                <w:szCs w:val="18"/>
              </w:rPr>
            </w:pPr>
            <w:r>
              <w:rPr>
                <w:rFonts w:hint="eastAsia"/>
                <w:szCs w:val="18"/>
              </w:rPr>
              <w:t>　保留内部、外部审核记录文件</w:t>
            </w:r>
          </w:p>
          <w:p>
            <w:pPr>
              <w:pStyle w:val="179"/>
              <w:jc w:val="left"/>
              <w:rPr>
                <w:szCs w:val="18"/>
              </w:rPr>
            </w:pPr>
            <w:r>
              <w:rPr>
                <w:rFonts w:hint="eastAsia"/>
                <w:szCs w:val="18"/>
              </w:rPr>
              <w:t>　12.1、12.2为</w:t>
            </w:r>
            <w:r>
              <w:t>必选</w:t>
            </w:r>
            <w:r>
              <w:rPr>
                <w:rFonts w:hint="eastAsia"/>
                <w:szCs w:val="18"/>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853" w:type="dxa"/>
            <w:vMerge w:val="continue"/>
            <w:tcBorders>
              <w:bottom w:val="single" w:color="auto" w:sz="8" w:space="0"/>
            </w:tcBorders>
            <w:shd w:val="clear" w:color="auto" w:fill="auto"/>
            <w:vAlign w:val="center"/>
          </w:tcPr>
          <w:p>
            <w:pPr>
              <w:pStyle w:val="179"/>
              <w:rPr>
                <w:b/>
              </w:rPr>
            </w:pPr>
          </w:p>
        </w:tc>
        <w:tc>
          <w:tcPr>
            <w:tcW w:w="1418" w:type="dxa"/>
            <w:tcBorders>
              <w:top w:val="single" w:color="auto" w:sz="8" w:space="0"/>
              <w:bottom w:val="single" w:color="auto" w:sz="8" w:space="0"/>
            </w:tcBorders>
            <w:shd w:val="clear" w:color="auto" w:fill="auto"/>
            <w:vAlign w:val="center"/>
          </w:tcPr>
          <w:p>
            <w:pPr>
              <w:pStyle w:val="179"/>
              <w:jc w:val="left"/>
            </w:pPr>
            <w:r>
              <w:rPr>
                <w:rFonts w:hint="eastAsia"/>
                <w:szCs w:val="18"/>
              </w:rPr>
              <w:t>　</w:t>
            </w:r>
            <w:r>
              <w:rPr>
                <w:rFonts w:hint="eastAsia"/>
              </w:rPr>
              <w:t>1</w:t>
            </w:r>
            <w:r>
              <w:t>2.3</w:t>
            </w:r>
          </w:p>
        </w:tc>
        <w:tc>
          <w:tcPr>
            <w:tcW w:w="6103" w:type="dxa"/>
            <w:tcBorders>
              <w:top w:val="single" w:color="auto" w:sz="8" w:space="0"/>
              <w:bottom w:val="single" w:color="auto" w:sz="8" w:space="0"/>
            </w:tcBorders>
            <w:shd w:val="clear" w:color="auto" w:fill="auto"/>
            <w:vAlign w:val="center"/>
          </w:tcPr>
          <w:p>
            <w:pPr>
              <w:pStyle w:val="179"/>
              <w:jc w:val="left"/>
            </w:pPr>
            <w:r>
              <w:rPr>
                <w:rFonts w:hint="eastAsia"/>
              </w:rPr>
              <w:t>　纠正不符合项的文件</w:t>
            </w:r>
          </w:p>
        </w:tc>
      </w:tr>
    </w:tbl>
    <w:p>
      <w:pPr>
        <w:pStyle w:val="57"/>
        <w:ind w:firstLine="420"/>
      </w:pPr>
    </w:p>
    <w:bookmarkEnd w:id="59"/>
    <w:p>
      <w:pPr>
        <w:pStyle w:val="57"/>
        <w:ind w:firstLine="0" w:firstLineChars="0"/>
        <w:jc w:val="center"/>
      </w:pPr>
      <w:bookmarkStart w:id="61" w:name="BookMark8"/>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a:stretch>
                      <a:fillRect/>
                    </a:stretch>
                  </pic:blipFill>
                  <pic:spPr>
                    <a:xfrm>
                      <a:off x="0" y="0"/>
                      <a:ext cx="1485900" cy="317500"/>
                    </a:xfrm>
                    <a:prstGeom prst="rect">
                      <a:avLst/>
                    </a:prstGeom>
                  </pic:spPr>
                </pic:pic>
              </a:graphicData>
            </a:graphic>
          </wp:inline>
        </w:drawing>
      </w:r>
      <w:bookmarkEnd w:id="61"/>
    </w:p>
    <w:sectPr>
      <w:headerReference r:id="rId15" w:type="default"/>
      <w:footerReference r:id="rId17" w:type="default"/>
      <w:headerReference r:id="rId16" w:type="even"/>
      <w:footerReference r:id="rId18" w:type="even"/>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8</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18</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DB32/TXXXX—XXXX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DB32/TXXXX—XXXX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DB32/TXXXX—XXXX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DB32/TXXXX—XXXX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DB32/TXXXX—XXXX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DB32/TXXXX—XXXX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78"/>
    <w:rsid w:val="0000040A"/>
    <w:rsid w:val="00000A94"/>
    <w:rsid w:val="00001972"/>
    <w:rsid w:val="00001D9A"/>
    <w:rsid w:val="00007B3A"/>
    <w:rsid w:val="000107E0"/>
    <w:rsid w:val="00011FDE"/>
    <w:rsid w:val="00012FFD"/>
    <w:rsid w:val="00014162"/>
    <w:rsid w:val="00014340"/>
    <w:rsid w:val="00016A9C"/>
    <w:rsid w:val="00022184"/>
    <w:rsid w:val="0002254B"/>
    <w:rsid w:val="00022762"/>
    <w:rsid w:val="000238E0"/>
    <w:rsid w:val="000249DB"/>
    <w:rsid w:val="0002595E"/>
    <w:rsid w:val="000303C3"/>
    <w:rsid w:val="000331D3"/>
    <w:rsid w:val="000346A5"/>
    <w:rsid w:val="000359C3"/>
    <w:rsid w:val="00035A7D"/>
    <w:rsid w:val="000365ED"/>
    <w:rsid w:val="0004249A"/>
    <w:rsid w:val="00043282"/>
    <w:rsid w:val="00044286"/>
    <w:rsid w:val="0004649E"/>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6877"/>
    <w:rsid w:val="00077B64"/>
    <w:rsid w:val="00080A1C"/>
    <w:rsid w:val="00082317"/>
    <w:rsid w:val="00083D2C"/>
    <w:rsid w:val="00086AA1"/>
    <w:rsid w:val="00087A77"/>
    <w:rsid w:val="00090CA6"/>
    <w:rsid w:val="00092B8A"/>
    <w:rsid w:val="00092FB0"/>
    <w:rsid w:val="000934C5"/>
    <w:rsid w:val="00093D25"/>
    <w:rsid w:val="00093DAB"/>
    <w:rsid w:val="00094D73"/>
    <w:rsid w:val="000953D9"/>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4AD"/>
    <w:rsid w:val="000F06E1"/>
    <w:rsid w:val="000F0E3C"/>
    <w:rsid w:val="000F19D5"/>
    <w:rsid w:val="000F29F9"/>
    <w:rsid w:val="000F4AEA"/>
    <w:rsid w:val="000F633F"/>
    <w:rsid w:val="000F67E9"/>
    <w:rsid w:val="00104926"/>
    <w:rsid w:val="00113B1E"/>
    <w:rsid w:val="0011711C"/>
    <w:rsid w:val="0012059C"/>
    <w:rsid w:val="00121245"/>
    <w:rsid w:val="00124E4F"/>
    <w:rsid w:val="001260B7"/>
    <w:rsid w:val="001265CB"/>
    <w:rsid w:val="001275FE"/>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6E97"/>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3917"/>
    <w:rsid w:val="001B71D0"/>
    <w:rsid w:val="001B71EE"/>
    <w:rsid w:val="001C04A8"/>
    <w:rsid w:val="001C2C03"/>
    <w:rsid w:val="001C3C22"/>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3D7"/>
    <w:rsid w:val="001F4816"/>
    <w:rsid w:val="001F4EE9"/>
    <w:rsid w:val="001F69B4"/>
    <w:rsid w:val="001F77C7"/>
    <w:rsid w:val="00200183"/>
    <w:rsid w:val="00200333"/>
    <w:rsid w:val="0020107D"/>
    <w:rsid w:val="00202AA4"/>
    <w:rsid w:val="002031F7"/>
    <w:rsid w:val="002040E6"/>
    <w:rsid w:val="0020527B"/>
    <w:rsid w:val="00205F2C"/>
    <w:rsid w:val="0021051B"/>
    <w:rsid w:val="00210B15"/>
    <w:rsid w:val="002142EA"/>
    <w:rsid w:val="002204BB"/>
    <w:rsid w:val="00221B79"/>
    <w:rsid w:val="00221C6B"/>
    <w:rsid w:val="002253A1"/>
    <w:rsid w:val="00225CF8"/>
    <w:rsid w:val="0022794E"/>
    <w:rsid w:val="00233C84"/>
    <w:rsid w:val="00233D64"/>
    <w:rsid w:val="0023482A"/>
    <w:rsid w:val="002359CB"/>
    <w:rsid w:val="00243540"/>
    <w:rsid w:val="0024497B"/>
    <w:rsid w:val="0024515B"/>
    <w:rsid w:val="00246021"/>
    <w:rsid w:val="0024625C"/>
    <w:rsid w:val="0024666E"/>
    <w:rsid w:val="00247F52"/>
    <w:rsid w:val="00250B25"/>
    <w:rsid w:val="00250BBE"/>
    <w:rsid w:val="002515C2"/>
    <w:rsid w:val="0025194F"/>
    <w:rsid w:val="00260A8D"/>
    <w:rsid w:val="0026148A"/>
    <w:rsid w:val="00262696"/>
    <w:rsid w:val="00263D25"/>
    <w:rsid w:val="002643C3"/>
    <w:rsid w:val="00264A0C"/>
    <w:rsid w:val="00266EEB"/>
    <w:rsid w:val="00267EF4"/>
    <w:rsid w:val="00270CB8"/>
    <w:rsid w:val="00272B08"/>
    <w:rsid w:val="002771AC"/>
    <w:rsid w:val="00281BA3"/>
    <w:rsid w:val="00281BB8"/>
    <w:rsid w:val="00281E9E"/>
    <w:rsid w:val="00282405"/>
    <w:rsid w:val="002836DD"/>
    <w:rsid w:val="00285170"/>
    <w:rsid w:val="00285361"/>
    <w:rsid w:val="002906E7"/>
    <w:rsid w:val="00292D60"/>
    <w:rsid w:val="00293B30"/>
    <w:rsid w:val="00294D34"/>
    <w:rsid w:val="00294E3B"/>
    <w:rsid w:val="00296193"/>
    <w:rsid w:val="00296C66"/>
    <w:rsid w:val="00296EBE"/>
    <w:rsid w:val="002974E3"/>
    <w:rsid w:val="002A018B"/>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E6E6B"/>
    <w:rsid w:val="002F30E0"/>
    <w:rsid w:val="002F35E4"/>
    <w:rsid w:val="002F3730"/>
    <w:rsid w:val="002F38E1"/>
    <w:rsid w:val="002F7AF6"/>
    <w:rsid w:val="00300E63"/>
    <w:rsid w:val="00302F5F"/>
    <w:rsid w:val="0030441D"/>
    <w:rsid w:val="00306063"/>
    <w:rsid w:val="00313B85"/>
    <w:rsid w:val="00316E55"/>
    <w:rsid w:val="00317988"/>
    <w:rsid w:val="003221B4"/>
    <w:rsid w:val="0032258D"/>
    <w:rsid w:val="00322E62"/>
    <w:rsid w:val="00324D13"/>
    <w:rsid w:val="00324D2A"/>
    <w:rsid w:val="00324EDD"/>
    <w:rsid w:val="00327593"/>
    <w:rsid w:val="003331E4"/>
    <w:rsid w:val="00336C64"/>
    <w:rsid w:val="00337162"/>
    <w:rsid w:val="003377F6"/>
    <w:rsid w:val="0034194F"/>
    <w:rsid w:val="003430E7"/>
    <w:rsid w:val="00344605"/>
    <w:rsid w:val="003474AA"/>
    <w:rsid w:val="00350D1D"/>
    <w:rsid w:val="00352C83"/>
    <w:rsid w:val="003615D2"/>
    <w:rsid w:val="003631FE"/>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6049"/>
    <w:rsid w:val="003974EB"/>
    <w:rsid w:val="00397CC5"/>
    <w:rsid w:val="003A1582"/>
    <w:rsid w:val="003A4077"/>
    <w:rsid w:val="003B09AD"/>
    <w:rsid w:val="003B1F18"/>
    <w:rsid w:val="003B5BF0"/>
    <w:rsid w:val="003B60BF"/>
    <w:rsid w:val="003B6BE3"/>
    <w:rsid w:val="003B6FF5"/>
    <w:rsid w:val="003C010C"/>
    <w:rsid w:val="003C0A6C"/>
    <w:rsid w:val="003C14F8"/>
    <w:rsid w:val="003C5A43"/>
    <w:rsid w:val="003C7F81"/>
    <w:rsid w:val="003D0519"/>
    <w:rsid w:val="003D0FF6"/>
    <w:rsid w:val="003D1F20"/>
    <w:rsid w:val="003D262C"/>
    <w:rsid w:val="003D3610"/>
    <w:rsid w:val="003D6D61"/>
    <w:rsid w:val="003D79C6"/>
    <w:rsid w:val="003E091D"/>
    <w:rsid w:val="003E1C53"/>
    <w:rsid w:val="003E2A69"/>
    <w:rsid w:val="003E2BE2"/>
    <w:rsid w:val="003E2D49"/>
    <w:rsid w:val="003E2F90"/>
    <w:rsid w:val="003E2FD4"/>
    <w:rsid w:val="003E4482"/>
    <w:rsid w:val="003E49F6"/>
    <w:rsid w:val="003E660F"/>
    <w:rsid w:val="003F0841"/>
    <w:rsid w:val="003F23D3"/>
    <w:rsid w:val="003F3F08"/>
    <w:rsid w:val="003F49F1"/>
    <w:rsid w:val="003F51D4"/>
    <w:rsid w:val="003F6272"/>
    <w:rsid w:val="00400E72"/>
    <w:rsid w:val="00401400"/>
    <w:rsid w:val="00404869"/>
    <w:rsid w:val="00405884"/>
    <w:rsid w:val="00407D39"/>
    <w:rsid w:val="0041477A"/>
    <w:rsid w:val="004167A3"/>
    <w:rsid w:val="004260E8"/>
    <w:rsid w:val="00432150"/>
    <w:rsid w:val="00432B3A"/>
    <w:rsid w:val="00432DAA"/>
    <w:rsid w:val="00434305"/>
    <w:rsid w:val="00435DF7"/>
    <w:rsid w:val="00437A8F"/>
    <w:rsid w:val="00440069"/>
    <w:rsid w:val="0044083F"/>
    <w:rsid w:val="00441AE7"/>
    <w:rsid w:val="00445574"/>
    <w:rsid w:val="004467FB"/>
    <w:rsid w:val="00452D6B"/>
    <w:rsid w:val="00454484"/>
    <w:rsid w:val="0045517B"/>
    <w:rsid w:val="00463B77"/>
    <w:rsid w:val="00463C7B"/>
    <w:rsid w:val="0046400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1C02"/>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055"/>
    <w:rsid w:val="004D2253"/>
    <w:rsid w:val="004D4406"/>
    <w:rsid w:val="004D70A9"/>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0150"/>
    <w:rsid w:val="00501139"/>
    <w:rsid w:val="0050363E"/>
    <w:rsid w:val="005039BC"/>
    <w:rsid w:val="005043BB"/>
    <w:rsid w:val="00504A3D"/>
    <w:rsid w:val="00505767"/>
    <w:rsid w:val="005073F0"/>
    <w:rsid w:val="00510A7B"/>
    <w:rsid w:val="00512F6E"/>
    <w:rsid w:val="00513038"/>
    <w:rsid w:val="00514174"/>
    <w:rsid w:val="00516088"/>
    <w:rsid w:val="00516B0B"/>
    <w:rsid w:val="005209BA"/>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02F"/>
    <w:rsid w:val="005479DA"/>
    <w:rsid w:val="00547BCC"/>
    <w:rsid w:val="0055013B"/>
    <w:rsid w:val="00551F6F"/>
    <w:rsid w:val="00555044"/>
    <w:rsid w:val="00561475"/>
    <w:rsid w:val="0056487B"/>
    <w:rsid w:val="00564FB9"/>
    <w:rsid w:val="00571D90"/>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6014"/>
    <w:rsid w:val="005A7830"/>
    <w:rsid w:val="005A7FCE"/>
    <w:rsid w:val="005B0F3F"/>
    <w:rsid w:val="005B4903"/>
    <w:rsid w:val="005B51CE"/>
    <w:rsid w:val="005B5885"/>
    <w:rsid w:val="005B5CD7"/>
    <w:rsid w:val="005B6CF6"/>
    <w:rsid w:val="005B7422"/>
    <w:rsid w:val="005C29B8"/>
    <w:rsid w:val="005C3043"/>
    <w:rsid w:val="005C436E"/>
    <w:rsid w:val="005C5F21"/>
    <w:rsid w:val="005C7156"/>
    <w:rsid w:val="005D0C75"/>
    <w:rsid w:val="005D293A"/>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4C2D"/>
    <w:rsid w:val="00606419"/>
    <w:rsid w:val="00607D29"/>
    <w:rsid w:val="00612952"/>
    <w:rsid w:val="00614CC1"/>
    <w:rsid w:val="00615A9D"/>
    <w:rsid w:val="00617387"/>
    <w:rsid w:val="006205D6"/>
    <w:rsid w:val="0062476A"/>
    <w:rsid w:val="006252D8"/>
    <w:rsid w:val="006259BC"/>
    <w:rsid w:val="0062636B"/>
    <w:rsid w:val="00630D0E"/>
    <w:rsid w:val="00632182"/>
    <w:rsid w:val="00632AE0"/>
    <w:rsid w:val="00633C17"/>
    <w:rsid w:val="00634D9E"/>
    <w:rsid w:val="00636E3E"/>
    <w:rsid w:val="006379F7"/>
    <w:rsid w:val="00637E4D"/>
    <w:rsid w:val="00640620"/>
    <w:rsid w:val="00641A1F"/>
    <w:rsid w:val="00645904"/>
    <w:rsid w:val="0064692E"/>
    <w:rsid w:val="00651ACB"/>
    <w:rsid w:val="00651C47"/>
    <w:rsid w:val="00652AB2"/>
    <w:rsid w:val="00653FED"/>
    <w:rsid w:val="00654EC0"/>
    <w:rsid w:val="0065525B"/>
    <w:rsid w:val="00655D4F"/>
    <w:rsid w:val="00656D29"/>
    <w:rsid w:val="006640E5"/>
    <w:rsid w:val="006646F1"/>
    <w:rsid w:val="00664929"/>
    <w:rsid w:val="00664F62"/>
    <w:rsid w:val="006655E1"/>
    <w:rsid w:val="006713CC"/>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2A2B"/>
    <w:rsid w:val="006D3E96"/>
    <w:rsid w:val="006D4515"/>
    <w:rsid w:val="006D4BB1"/>
    <w:rsid w:val="006D640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0EE4"/>
    <w:rsid w:val="007322D9"/>
    <w:rsid w:val="00732BC0"/>
    <w:rsid w:val="0073720F"/>
    <w:rsid w:val="00737796"/>
    <w:rsid w:val="0074165C"/>
    <w:rsid w:val="00742C35"/>
    <w:rsid w:val="007432CA"/>
    <w:rsid w:val="007439EB"/>
    <w:rsid w:val="00743CB4"/>
    <w:rsid w:val="00743F0A"/>
    <w:rsid w:val="007444E8"/>
    <w:rsid w:val="00744E46"/>
    <w:rsid w:val="0074548E"/>
    <w:rsid w:val="00745773"/>
    <w:rsid w:val="00746800"/>
    <w:rsid w:val="007501A8"/>
    <w:rsid w:val="00750D61"/>
    <w:rsid w:val="00750EE1"/>
    <w:rsid w:val="0075174D"/>
    <w:rsid w:val="00752B4D"/>
    <w:rsid w:val="00754231"/>
    <w:rsid w:val="00755402"/>
    <w:rsid w:val="00756B26"/>
    <w:rsid w:val="00756EDF"/>
    <w:rsid w:val="007600E3"/>
    <w:rsid w:val="00765C43"/>
    <w:rsid w:val="00765EFB"/>
    <w:rsid w:val="007671CA"/>
    <w:rsid w:val="00767C61"/>
    <w:rsid w:val="0077008A"/>
    <w:rsid w:val="0077146A"/>
    <w:rsid w:val="00773C1F"/>
    <w:rsid w:val="00774DA4"/>
    <w:rsid w:val="00776599"/>
    <w:rsid w:val="0078114B"/>
    <w:rsid w:val="00781DD2"/>
    <w:rsid w:val="00783ECF"/>
    <w:rsid w:val="0078413A"/>
    <w:rsid w:val="00790B49"/>
    <w:rsid w:val="007959E8"/>
    <w:rsid w:val="00795E9C"/>
    <w:rsid w:val="007A0521"/>
    <w:rsid w:val="007A2B9A"/>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45C0"/>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1831"/>
    <w:rsid w:val="00815419"/>
    <w:rsid w:val="008163C8"/>
    <w:rsid w:val="008164A1"/>
    <w:rsid w:val="00817325"/>
    <w:rsid w:val="008209E6"/>
    <w:rsid w:val="00823303"/>
    <w:rsid w:val="008233B2"/>
    <w:rsid w:val="00823A9F"/>
    <w:rsid w:val="00823C85"/>
    <w:rsid w:val="00825138"/>
    <w:rsid w:val="008269DD"/>
    <w:rsid w:val="00830621"/>
    <w:rsid w:val="00831C88"/>
    <w:rsid w:val="0083348C"/>
    <w:rsid w:val="008373D3"/>
    <w:rsid w:val="00840617"/>
    <w:rsid w:val="00840F84"/>
    <w:rsid w:val="00842A47"/>
    <w:rsid w:val="00842BCA"/>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903"/>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272"/>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53C"/>
    <w:rsid w:val="009062E6"/>
    <w:rsid w:val="00911BE5"/>
    <w:rsid w:val="00913CA9"/>
    <w:rsid w:val="009145AE"/>
    <w:rsid w:val="009146CE"/>
    <w:rsid w:val="00914C1B"/>
    <w:rsid w:val="00914CA7"/>
    <w:rsid w:val="00915C3E"/>
    <w:rsid w:val="009161A8"/>
    <w:rsid w:val="009245F5"/>
    <w:rsid w:val="009249EC"/>
    <w:rsid w:val="009273B3"/>
    <w:rsid w:val="009305B5"/>
    <w:rsid w:val="009429D5"/>
    <w:rsid w:val="00942BF1"/>
    <w:rsid w:val="00945180"/>
    <w:rsid w:val="00945428"/>
    <w:rsid w:val="0094607B"/>
    <w:rsid w:val="00953604"/>
    <w:rsid w:val="00953876"/>
    <w:rsid w:val="0095496B"/>
    <w:rsid w:val="009610DC"/>
    <w:rsid w:val="00961490"/>
    <w:rsid w:val="0096381A"/>
    <w:rsid w:val="00965E04"/>
    <w:rsid w:val="009674AD"/>
    <w:rsid w:val="00970CDC"/>
    <w:rsid w:val="00977010"/>
    <w:rsid w:val="00977D02"/>
    <w:rsid w:val="009809BB"/>
    <w:rsid w:val="0098364B"/>
    <w:rsid w:val="00983A94"/>
    <w:rsid w:val="009911AF"/>
    <w:rsid w:val="00991875"/>
    <w:rsid w:val="00991F92"/>
    <w:rsid w:val="00992386"/>
    <w:rsid w:val="00992985"/>
    <w:rsid w:val="00992E9E"/>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2624"/>
    <w:rsid w:val="009D47FA"/>
    <w:rsid w:val="009D4C5B"/>
    <w:rsid w:val="009D50D2"/>
    <w:rsid w:val="009D6BCA"/>
    <w:rsid w:val="009E0F62"/>
    <w:rsid w:val="009E4A58"/>
    <w:rsid w:val="009E5A2D"/>
    <w:rsid w:val="009E5AB2"/>
    <w:rsid w:val="009E6219"/>
    <w:rsid w:val="009E7863"/>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3F4D"/>
    <w:rsid w:val="00A2451F"/>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4C43"/>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DEE"/>
    <w:rsid w:val="00AE5EB4"/>
    <w:rsid w:val="00AF0C18"/>
    <w:rsid w:val="00AF1CB5"/>
    <w:rsid w:val="00AF47C5"/>
    <w:rsid w:val="00AF5398"/>
    <w:rsid w:val="00B049AF"/>
    <w:rsid w:val="00B07242"/>
    <w:rsid w:val="00B10534"/>
    <w:rsid w:val="00B113DB"/>
    <w:rsid w:val="00B11D8A"/>
    <w:rsid w:val="00B12981"/>
    <w:rsid w:val="00B147DD"/>
    <w:rsid w:val="00B156FD"/>
    <w:rsid w:val="00B21AFA"/>
    <w:rsid w:val="00B21F61"/>
    <w:rsid w:val="00B261F1"/>
    <w:rsid w:val="00B265BC"/>
    <w:rsid w:val="00B31FA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E2C"/>
    <w:rsid w:val="00B56FBE"/>
    <w:rsid w:val="00B57FB8"/>
    <w:rsid w:val="00B60ACF"/>
    <w:rsid w:val="00B62B58"/>
    <w:rsid w:val="00B65149"/>
    <w:rsid w:val="00B66567"/>
    <w:rsid w:val="00B66F52"/>
    <w:rsid w:val="00B66FE5"/>
    <w:rsid w:val="00B72880"/>
    <w:rsid w:val="00B758BF"/>
    <w:rsid w:val="00B77EC8"/>
    <w:rsid w:val="00B80A08"/>
    <w:rsid w:val="00B827A6"/>
    <w:rsid w:val="00B831CE"/>
    <w:rsid w:val="00B86677"/>
    <w:rsid w:val="00B87131"/>
    <w:rsid w:val="00B939B1"/>
    <w:rsid w:val="00B96D40"/>
    <w:rsid w:val="00B96D83"/>
    <w:rsid w:val="00B97386"/>
    <w:rsid w:val="00BA263B"/>
    <w:rsid w:val="00BA42B2"/>
    <w:rsid w:val="00BA58D4"/>
    <w:rsid w:val="00BA5B9E"/>
    <w:rsid w:val="00BA7C9A"/>
    <w:rsid w:val="00BB203B"/>
    <w:rsid w:val="00BB5F8F"/>
    <w:rsid w:val="00BB657A"/>
    <w:rsid w:val="00BC1A4E"/>
    <w:rsid w:val="00BC2982"/>
    <w:rsid w:val="00BC4790"/>
    <w:rsid w:val="00BC5DC7"/>
    <w:rsid w:val="00BC6B8B"/>
    <w:rsid w:val="00BC73D8"/>
    <w:rsid w:val="00BD52D7"/>
    <w:rsid w:val="00BD5AD2"/>
    <w:rsid w:val="00BE22F3"/>
    <w:rsid w:val="00BE5B52"/>
    <w:rsid w:val="00BE7B8D"/>
    <w:rsid w:val="00BF0993"/>
    <w:rsid w:val="00BF0995"/>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4F9"/>
    <w:rsid w:val="00C41B1D"/>
    <w:rsid w:val="00C42130"/>
    <w:rsid w:val="00C423A4"/>
    <w:rsid w:val="00C44BF5"/>
    <w:rsid w:val="00C521D6"/>
    <w:rsid w:val="00C55232"/>
    <w:rsid w:val="00C553A4"/>
    <w:rsid w:val="00C55A06"/>
    <w:rsid w:val="00C55D03"/>
    <w:rsid w:val="00C601BC"/>
    <w:rsid w:val="00C62808"/>
    <w:rsid w:val="00C6329F"/>
    <w:rsid w:val="00C63340"/>
    <w:rsid w:val="00C643F9"/>
    <w:rsid w:val="00C64E95"/>
    <w:rsid w:val="00C71372"/>
    <w:rsid w:val="00C72410"/>
    <w:rsid w:val="00C7287F"/>
    <w:rsid w:val="00C80CB8"/>
    <w:rsid w:val="00C819F8"/>
    <w:rsid w:val="00C8248C"/>
    <w:rsid w:val="00C84E33"/>
    <w:rsid w:val="00C86D6F"/>
    <w:rsid w:val="00C9010C"/>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A4E"/>
    <w:rsid w:val="00CD0D78"/>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277E"/>
    <w:rsid w:val="00D0321C"/>
    <w:rsid w:val="00D035EC"/>
    <w:rsid w:val="00D06AB1"/>
    <w:rsid w:val="00D070B1"/>
    <w:rsid w:val="00D072ED"/>
    <w:rsid w:val="00D07A16"/>
    <w:rsid w:val="00D1067E"/>
    <w:rsid w:val="00D10F50"/>
    <w:rsid w:val="00D11272"/>
    <w:rsid w:val="00D126F5"/>
    <w:rsid w:val="00D1392C"/>
    <w:rsid w:val="00D1489E"/>
    <w:rsid w:val="00D20737"/>
    <w:rsid w:val="00D21E81"/>
    <w:rsid w:val="00D223DE"/>
    <w:rsid w:val="00D25E37"/>
    <w:rsid w:val="00D2661A"/>
    <w:rsid w:val="00D27582"/>
    <w:rsid w:val="00D27EC4"/>
    <w:rsid w:val="00D31618"/>
    <w:rsid w:val="00D32719"/>
    <w:rsid w:val="00D32794"/>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15BA"/>
    <w:rsid w:val="00D926D0"/>
    <w:rsid w:val="00D93030"/>
    <w:rsid w:val="00D941E2"/>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225"/>
    <w:rsid w:val="00DB66CA"/>
    <w:rsid w:val="00DB6BCA"/>
    <w:rsid w:val="00DB73F7"/>
    <w:rsid w:val="00DC0321"/>
    <w:rsid w:val="00DC1406"/>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3D"/>
    <w:rsid w:val="00E202EF"/>
    <w:rsid w:val="00E210B5"/>
    <w:rsid w:val="00E23D99"/>
    <w:rsid w:val="00E2552F"/>
    <w:rsid w:val="00E27D48"/>
    <w:rsid w:val="00E3137A"/>
    <w:rsid w:val="00E32CCF"/>
    <w:rsid w:val="00E337E1"/>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64D0"/>
    <w:rsid w:val="00EB74DB"/>
    <w:rsid w:val="00EC1123"/>
    <w:rsid w:val="00EC5359"/>
    <w:rsid w:val="00EC562A"/>
    <w:rsid w:val="00EC5E19"/>
    <w:rsid w:val="00ED067A"/>
    <w:rsid w:val="00ED2B50"/>
    <w:rsid w:val="00ED7105"/>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5A4C"/>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605"/>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1A01181"/>
    <w:rsid w:val="3AE41DD3"/>
    <w:rsid w:val="53A0563D"/>
    <w:rsid w:val="7C925DE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Document Map"/>
    <w:basedOn w:val="1"/>
    <w:link w:val="231"/>
    <w:semiHidden/>
    <w:unhideWhenUsed/>
    <w:uiPriority w:val="99"/>
    <w:rPr>
      <w:rFonts w:ascii="宋体"/>
      <w:sz w:val="18"/>
      <w:szCs w:val="18"/>
    </w:rPr>
  </w:style>
  <w:style w:type="paragraph" w:styleId="14">
    <w:name w:val="Body Text"/>
    <w:basedOn w:val="1"/>
    <w:link w:val="87"/>
    <w:uiPriority w:val="0"/>
    <w:pPr>
      <w:spacing w:after="120"/>
    </w:pPr>
  </w:style>
  <w:style w:type="paragraph" w:styleId="15">
    <w:name w:val="toc 5"/>
    <w:basedOn w:val="1"/>
    <w:next w:val="1"/>
    <w:unhideWhenUsed/>
    <w:uiPriority w:val="39"/>
    <w:pPr>
      <w:ind w:left="839"/>
    </w:pPr>
    <w:rPr>
      <w:rFonts w:ascii="宋体"/>
    </w:rPr>
  </w:style>
  <w:style w:type="paragraph" w:styleId="16">
    <w:name w:val="toc 3"/>
    <w:basedOn w:val="1"/>
    <w:next w:val="1"/>
    <w:unhideWhenUsed/>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uiPriority w:val="39"/>
    <w:rPr>
      <w:rFonts w:ascii="宋体"/>
    </w:rPr>
  </w:style>
  <w:style w:type="paragraph" w:styleId="21">
    <w:name w:val="toc 4"/>
    <w:basedOn w:val="1"/>
    <w:next w:val="1"/>
    <w:unhideWhenUsed/>
    <w:uiPriority w:val="39"/>
    <w:pPr>
      <w:tabs>
        <w:tab w:val="right" w:leader="dot" w:pos="9344"/>
      </w:tabs>
      <w:spacing w:line="300" w:lineRule="exact"/>
      <w:ind w:left="629"/>
    </w:pPr>
    <w:rPr>
      <w:rFonts w:ascii="宋体"/>
    </w:rPr>
  </w:style>
  <w:style w:type="paragraph" w:styleId="22">
    <w:name w:val="footnote text"/>
    <w:basedOn w:val="1"/>
    <w:next w:val="1"/>
    <w:link w:val="100"/>
    <w:semiHidden/>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uiPriority w:val="39"/>
    <w:pPr>
      <w:spacing w:line="300" w:lineRule="exact"/>
      <w:ind w:left="1049"/>
    </w:pPr>
    <w:rPr>
      <w:rFonts w:ascii="宋体"/>
    </w:rPr>
  </w:style>
  <w:style w:type="paragraph" w:styleId="24">
    <w:name w:val="table of figures"/>
    <w:basedOn w:val="1"/>
    <w:next w:val="1"/>
    <w:semiHidden/>
    <w:uiPriority w:val="0"/>
    <w:pPr>
      <w:adjustRightInd/>
      <w:spacing w:line="240" w:lineRule="auto"/>
      <w:jc w:val="left"/>
    </w:pPr>
    <w:rPr>
      <w:szCs w:val="24"/>
    </w:rPr>
  </w:style>
  <w:style w:type="paragraph" w:styleId="25">
    <w:name w:val="toc 2"/>
    <w:basedOn w:val="1"/>
    <w:next w:val="1"/>
    <w:unhideWhenUsed/>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0">
    <w:name w:val="Strong"/>
    <w:qFormat/>
    <w:uiPriority w:val="22"/>
    <w:rPr>
      <w:b/>
      <w:bCs/>
    </w:rPr>
  </w:style>
  <w:style w:type="character" w:styleId="31">
    <w:name w:val="page number"/>
    <w:uiPriority w:val="0"/>
    <w:rPr>
      <w:rFonts w:ascii="宋体" w:hAnsi="Times New Roman" w:eastAsia="宋体"/>
      <w:sz w:val="18"/>
    </w:rPr>
  </w:style>
  <w:style w:type="character" w:styleId="32">
    <w:name w:val="Emphasis"/>
    <w:qFormat/>
    <w:uiPriority w:val="20"/>
    <w:rPr>
      <w:i/>
      <w:iCs/>
    </w:rPr>
  </w:style>
  <w:style w:type="character" w:styleId="33">
    <w:name w:val="Hyperlink"/>
    <w:uiPriority w:val="99"/>
    <w:rPr>
      <w:rFonts w:ascii="宋体" w:hAnsi="Times New Roman" w:eastAsia="宋体"/>
      <w:color w:val="auto"/>
      <w:spacing w:val="0"/>
      <w:w w:val="100"/>
      <w:position w:val="0"/>
      <w:sz w:val="21"/>
      <w:u w:val="none"/>
      <w:vertAlign w:val="baseline"/>
    </w:rPr>
  </w:style>
  <w:style w:type="character" w:styleId="34">
    <w:name w:val="footnote reference"/>
    <w:semiHidden/>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uiPriority w:val="0"/>
    <w:rPr>
      <w:rFonts w:ascii="Arial" w:hAnsi="Arial" w:eastAsia="黑体"/>
      <w:b/>
      <w:bCs/>
      <w:kern w:val="2"/>
      <w:sz w:val="32"/>
      <w:szCs w:val="32"/>
    </w:rPr>
  </w:style>
  <w:style w:type="character" w:customStyle="1" w:styleId="37">
    <w:name w:val="标题 3 Char"/>
    <w:link w:val="4"/>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9"/>
    <w:qFormat/>
    <w:uiPriority w:val="99"/>
    <w:rPr>
      <w:kern w:val="2"/>
      <w:sz w:val="18"/>
      <w:szCs w:val="18"/>
    </w:rPr>
  </w:style>
  <w:style w:type="character" w:customStyle="1" w:styleId="45">
    <w:name w:val="页脚 Char"/>
    <w:link w:val="18"/>
    <w:qFormat/>
    <w:uiPriority w:val="99"/>
    <w:rPr>
      <w:rFonts w:ascii="宋体"/>
      <w:kern w:val="2"/>
      <w:sz w:val="18"/>
      <w:szCs w:val="18"/>
    </w:rPr>
  </w:style>
  <w:style w:type="character" w:customStyle="1" w:styleId="46">
    <w:name w:val="批注框文本 Char"/>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uiPriority w:val="0"/>
    <w:rPr>
      <w:kern w:val="2"/>
      <w:sz w:val="21"/>
      <w:szCs w:val="21"/>
    </w:rPr>
  </w:style>
  <w:style w:type="paragraph" w:customStyle="1" w:styleId="88">
    <w:name w:val="标准文件_附录章标题"/>
    <w:next w:val="57"/>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uiPriority w:val="0"/>
    <w:pPr>
      <w:ind w:left="488" w:leftChars="200" w:hanging="289" w:hangingChars="290"/>
    </w:pPr>
  </w:style>
  <w:style w:type="paragraph" w:customStyle="1" w:styleId="90">
    <w:name w:val="标准文件_前言、引言标题"/>
    <w:next w:val="1"/>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uiPriority w:val="0"/>
    <w:pPr>
      <w:spacing w:line="460" w:lineRule="exact"/>
      <w:ind w:left="0" w:firstLine="0"/>
    </w:pPr>
  </w:style>
  <w:style w:type="paragraph" w:customStyle="1" w:styleId="92">
    <w:name w:val="标准文件_目录标题"/>
    <w:basedOn w:val="1"/>
    <w:uiPriority w:val="0"/>
    <w:pPr>
      <w:spacing w:before="480" w:afterLines="150" w:line="240" w:lineRule="auto"/>
      <w:jc w:val="center"/>
    </w:pPr>
    <w:rPr>
      <w:rFonts w:ascii="黑体" w:eastAsia="黑体"/>
      <w:sz w:val="32"/>
    </w:rPr>
  </w:style>
  <w:style w:type="paragraph" w:customStyle="1" w:styleId="93">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uiPriority w:val="0"/>
    <w:pPr>
      <w:numPr>
        <w:numId w:val="10"/>
      </w:numPr>
    </w:pPr>
  </w:style>
  <w:style w:type="paragraph" w:customStyle="1" w:styleId="95">
    <w:name w:val="标准文件_三级条标题"/>
    <w:basedOn w:val="66"/>
    <w:next w:val="57"/>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uiPriority w:val="0"/>
    <w:pPr>
      <w:adjustRightInd/>
      <w:spacing w:line="240" w:lineRule="auto"/>
      <w:ind w:firstLine="200" w:firstLineChars="200"/>
    </w:pPr>
    <w:rPr>
      <w:sz w:val="18"/>
      <w:szCs w:val="24"/>
    </w:rPr>
  </w:style>
  <w:style w:type="paragraph" w:customStyle="1" w:styleId="98">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uiPriority w:val="0"/>
    <w:rPr>
      <w:rFonts w:ascii="宋体"/>
      <w:kern w:val="2"/>
      <w:sz w:val="18"/>
      <w:szCs w:val="18"/>
    </w:rPr>
  </w:style>
  <w:style w:type="paragraph" w:customStyle="1" w:styleId="101">
    <w:name w:val="标准文件_条文脚注"/>
    <w:basedOn w:val="22"/>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uiPriority w:val="0"/>
    <w:pPr>
      <w:numPr>
        <w:ilvl w:val="0"/>
        <w:numId w:val="12"/>
      </w:numPr>
      <w:spacing w:line="240" w:lineRule="auto"/>
      <w:jc w:val="left"/>
    </w:pPr>
    <w:rPr>
      <w:rFonts w:ascii="宋体" w:hAnsi="宋体"/>
      <w:sz w:val="18"/>
    </w:rPr>
  </w:style>
  <w:style w:type="character" w:customStyle="1" w:styleId="103">
    <w:name w:val="标准文件_图表脚注内容"/>
    <w:uiPriority w:val="0"/>
    <w:rPr>
      <w:rFonts w:ascii="宋体" w:hAnsi="宋体" w:eastAsia="宋体" w:cs="Times New Roman"/>
      <w:spacing w:val="0"/>
      <w:sz w:val="18"/>
      <w:vertAlign w:val="superscript"/>
    </w:rPr>
  </w:style>
  <w:style w:type="paragraph" w:customStyle="1" w:styleId="104">
    <w:name w:val="标准文件_五级条标题"/>
    <w:next w:val="57"/>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uiPriority w:val="0"/>
    <w:pPr>
      <w:numPr>
        <w:ilvl w:val="2"/>
      </w:numPr>
      <w:spacing w:beforeLines="50" w:afterLines="50"/>
      <w:outlineLvl w:val="1"/>
    </w:pPr>
  </w:style>
  <w:style w:type="paragraph" w:customStyle="1" w:styleId="107">
    <w:name w:val="标准文件_一致程度"/>
    <w:basedOn w:val="1"/>
    <w:uiPriority w:val="0"/>
    <w:pPr>
      <w:spacing w:line="440" w:lineRule="exact"/>
      <w:jc w:val="center"/>
    </w:pPr>
    <w:rPr>
      <w:sz w:val="28"/>
    </w:rPr>
  </w:style>
  <w:style w:type="paragraph" w:customStyle="1" w:styleId="108">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uiPriority w:val="0"/>
    <w:pPr>
      <w:numPr>
        <w:ilvl w:val="3"/>
        <w:numId w:val="20"/>
      </w:numPr>
      <w:adjustRightInd/>
      <w:spacing w:line="240" w:lineRule="auto"/>
    </w:pPr>
    <w:rPr>
      <w:rFonts w:ascii="宋体" w:hAnsi="宋体"/>
      <w:szCs w:val="24"/>
    </w:rPr>
  </w:style>
  <w:style w:type="paragraph" w:customStyle="1" w:styleId="120">
    <w:name w:val="发布部门"/>
    <w:next w:val="57"/>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uiPriority w:val="0"/>
    <w:pPr>
      <w:outlineLvl w:val="4"/>
    </w:pPr>
  </w:style>
  <w:style w:type="paragraph" w:customStyle="1" w:styleId="131">
    <w:name w:val="附录四级无标题条"/>
    <w:basedOn w:val="130"/>
    <w:next w:val="57"/>
    <w:uiPriority w:val="0"/>
    <w:pPr>
      <w:outlineLvl w:val="5"/>
    </w:pPr>
  </w:style>
  <w:style w:type="paragraph" w:customStyle="1" w:styleId="132">
    <w:name w:val="附录图"/>
    <w:next w:val="57"/>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uiPriority w:val="0"/>
    <w:pPr>
      <w:outlineLvl w:val="6"/>
    </w:pPr>
  </w:style>
  <w:style w:type="paragraph" w:customStyle="1" w:styleId="135">
    <w:name w:val="附录性质"/>
    <w:basedOn w:val="1"/>
    <w:uiPriority w:val="0"/>
    <w:pPr>
      <w:widowControl/>
      <w:adjustRightInd/>
      <w:jc w:val="center"/>
    </w:pPr>
    <w:rPr>
      <w:rFonts w:ascii="黑体" w:eastAsia="黑体"/>
    </w:rPr>
  </w:style>
  <w:style w:type="paragraph" w:customStyle="1" w:styleId="136">
    <w:name w:val="附录一级无标题条"/>
    <w:basedOn w:val="88"/>
    <w:next w:val="57"/>
    <w:uiPriority w:val="0"/>
    <w:pPr>
      <w:autoSpaceDN w:val="0"/>
      <w:outlineLvl w:val="2"/>
    </w:pPr>
    <w:rPr>
      <w:rFonts w:ascii="宋体" w:hAnsi="宋体" w:eastAsia="宋体"/>
    </w:rPr>
  </w:style>
  <w:style w:type="character" w:customStyle="1" w:styleId="137">
    <w:name w:val="个人答复风格"/>
    <w:uiPriority w:val="0"/>
    <w:rPr>
      <w:rFonts w:ascii="Arial" w:hAnsi="Arial" w:eastAsia="宋体" w:cs="Arial"/>
      <w:color w:val="auto"/>
      <w:spacing w:val="0"/>
      <w:sz w:val="20"/>
    </w:rPr>
  </w:style>
  <w:style w:type="character" w:customStyle="1" w:styleId="138">
    <w:name w:val="个人撰写风格"/>
    <w:uiPriority w:val="0"/>
    <w:rPr>
      <w:rFonts w:ascii="Arial" w:hAnsi="Arial" w:eastAsia="宋体" w:cs="Arial"/>
      <w:color w:val="auto"/>
      <w:spacing w:val="0"/>
      <w:sz w:val="20"/>
    </w:rPr>
  </w:style>
  <w:style w:type="paragraph" w:customStyle="1" w:styleId="139">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uiPriority w:val="0"/>
    <w:pPr>
      <w:tabs>
        <w:tab w:val="left" w:pos="840"/>
      </w:tabs>
    </w:pPr>
  </w:style>
  <w:style w:type="paragraph" w:customStyle="1" w:styleId="142">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uiPriority w:val="0"/>
    <w:pPr>
      <w:adjustRightInd/>
      <w:spacing w:line="240" w:lineRule="auto"/>
      <w:jc w:val="left"/>
    </w:pPr>
    <w:rPr>
      <w:bCs/>
      <w:iCs/>
    </w:rPr>
  </w:style>
  <w:style w:type="paragraph" w:customStyle="1" w:styleId="144">
    <w:name w:val="目录 31"/>
    <w:basedOn w:val="1"/>
    <w:next w:val="1"/>
    <w:semiHidden/>
    <w:uiPriority w:val="0"/>
    <w:pPr>
      <w:spacing w:line="240" w:lineRule="auto"/>
    </w:pPr>
    <w:rPr>
      <w:rFonts w:ascii="宋体" w:hAnsi="宋体"/>
      <w:iCs/>
    </w:rPr>
  </w:style>
  <w:style w:type="paragraph" w:customStyle="1" w:styleId="145">
    <w:name w:val="目录 41"/>
    <w:basedOn w:val="1"/>
    <w:next w:val="1"/>
    <w:semiHidden/>
    <w:uiPriority w:val="0"/>
    <w:pPr>
      <w:adjustRightInd/>
      <w:spacing w:line="240" w:lineRule="auto"/>
      <w:jc w:val="left"/>
    </w:pPr>
  </w:style>
  <w:style w:type="paragraph" w:customStyle="1" w:styleId="146">
    <w:name w:val="目录 51"/>
    <w:basedOn w:val="1"/>
    <w:next w:val="1"/>
    <w:semiHidden/>
    <w:uiPriority w:val="0"/>
    <w:pPr>
      <w:spacing w:line="240" w:lineRule="auto"/>
    </w:pPr>
    <w:rPr>
      <w:rFonts w:ascii="宋体" w:hAnsi="宋体"/>
    </w:rPr>
  </w:style>
  <w:style w:type="paragraph" w:customStyle="1" w:styleId="147">
    <w:name w:val="目录 61"/>
    <w:basedOn w:val="1"/>
    <w:next w:val="1"/>
    <w:semiHidden/>
    <w:uiPriority w:val="0"/>
    <w:pPr>
      <w:adjustRightInd/>
      <w:spacing w:line="240" w:lineRule="auto"/>
      <w:jc w:val="left"/>
    </w:pPr>
  </w:style>
  <w:style w:type="paragraph" w:customStyle="1" w:styleId="148">
    <w:name w:val="目录 71"/>
    <w:basedOn w:val="147"/>
    <w:semiHidden/>
    <w:uiPriority w:val="0"/>
    <w:pPr>
      <w:ind w:left="1260"/>
    </w:pPr>
  </w:style>
  <w:style w:type="paragraph" w:customStyle="1" w:styleId="149">
    <w:name w:val="目录 81"/>
    <w:basedOn w:val="148"/>
    <w:semiHidden/>
    <w:uiPriority w:val="0"/>
    <w:pPr>
      <w:ind w:left="1470"/>
    </w:pPr>
  </w:style>
  <w:style w:type="paragraph" w:customStyle="1" w:styleId="150">
    <w:name w:val="目录 91"/>
    <w:basedOn w:val="149"/>
    <w:semiHidden/>
    <w:uiPriority w:val="0"/>
    <w:pPr>
      <w:ind w:left="1680"/>
    </w:pPr>
  </w:style>
  <w:style w:type="paragraph" w:customStyle="1" w:styleId="151">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uiPriority w:val="0"/>
    <w:pPr>
      <w:numPr>
        <w:ilvl w:val="4"/>
        <w:numId w:val="20"/>
      </w:numPr>
      <w:adjustRightInd/>
      <w:spacing w:line="240" w:lineRule="auto"/>
    </w:pPr>
    <w:rPr>
      <w:rFonts w:ascii="宋体" w:hAnsi="宋体"/>
      <w:szCs w:val="24"/>
    </w:rPr>
  </w:style>
  <w:style w:type="paragraph" w:customStyle="1" w:styleId="155">
    <w:name w:val="实施日期"/>
    <w:basedOn w:val="121"/>
    <w:uiPriority w:val="0"/>
    <w:pPr>
      <w:framePr w:hSpace="0" w:xAlign="right"/>
      <w:jc w:val="right"/>
    </w:pPr>
  </w:style>
  <w:style w:type="paragraph" w:customStyle="1" w:styleId="156">
    <w:name w:val="四级无标题条"/>
    <w:basedOn w:val="1"/>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uiPriority w:val="0"/>
    <w:pPr>
      <w:jc w:val="both"/>
    </w:pPr>
    <w:rPr>
      <w:rFonts w:ascii="宋体" w:hAnsi="宋体" w:eastAsia="宋体" w:cs="Times New Roman"/>
      <w:sz w:val="21"/>
      <w:lang w:val="en-US" w:eastAsia="zh-CN" w:bidi="ar-SA"/>
    </w:rPr>
  </w:style>
  <w:style w:type="paragraph" w:customStyle="1" w:styleId="159">
    <w:name w:val="五级无标题条"/>
    <w:basedOn w:val="1"/>
    <w:uiPriority w:val="0"/>
    <w:pPr>
      <w:numPr>
        <w:ilvl w:val="6"/>
        <w:numId w:val="20"/>
      </w:numPr>
      <w:adjustRightInd/>
    </w:pPr>
    <w:rPr>
      <w:szCs w:val="24"/>
    </w:rPr>
  </w:style>
  <w:style w:type="paragraph" w:customStyle="1" w:styleId="160">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vAnchor="page" w:hAnchor="page" w:x="1419" w:y="14097"/>
    </w:pPr>
  </w:style>
  <w:style w:type="paragraph" w:customStyle="1" w:styleId="195">
    <w:name w:val="其他实施日期"/>
    <w:basedOn w:val="155"/>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uiPriority w:val="0"/>
    <w:rPr>
      <w:rFonts w:ascii="黑体" w:eastAsia="黑体"/>
      <w:spacing w:val="85"/>
      <w:w w:val="100"/>
      <w:position w:val="3"/>
      <w:sz w:val="28"/>
      <w:szCs w:val="28"/>
    </w:rPr>
  </w:style>
  <w:style w:type="character" w:customStyle="1" w:styleId="231">
    <w:name w:val="文档结构图 Char"/>
    <w:basedOn w:val="29"/>
    <w:link w:val="13"/>
    <w:semiHidden/>
    <w:uiPriority w:val="99"/>
    <w:rPr>
      <w:rFonts w:ascii="宋体"/>
      <w:kern w:val="2"/>
      <w:sz w:val="18"/>
      <w:szCs w:val="18"/>
    </w:rPr>
  </w:style>
  <w:style w:type="character" w:customStyle="1" w:styleId="232">
    <w:name w:val="段 Char"/>
    <w:link w:val="233"/>
    <w:uiPriority w:val="0"/>
    <w:rPr>
      <w:rFonts w:ascii="宋体" w:hAnsi="Times New Roman"/>
      <w:sz w:val="21"/>
    </w:rPr>
  </w:style>
  <w:style w:type="paragraph" w:customStyle="1" w:styleId="233">
    <w:name w:val="段"/>
    <w:link w:val="232"/>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49E6FBCC8554E988329BF9C1E793437"/>
        <w:style w:val=""/>
        <w:category>
          <w:name w:val="常规"/>
          <w:gallery w:val="placeholder"/>
        </w:category>
        <w:types>
          <w:type w:val="bbPlcHdr"/>
        </w:types>
        <w:behaviors>
          <w:behavior w:val="content"/>
        </w:behaviors>
        <w:description w:val=""/>
        <w:guid w:val="{BFBCEE5B-C238-40CA-8F9B-DD33021C4B9C}"/>
      </w:docPartPr>
      <w:docPartBody>
        <w:p>
          <w:pPr>
            <w:pStyle w:val="5"/>
          </w:pPr>
          <w:r>
            <w:rPr>
              <w:rStyle w:val="4"/>
              <w:rFonts w:hint="eastAsia"/>
            </w:rPr>
            <w:t>单击或点击此处输入文字。</w:t>
          </w:r>
        </w:p>
      </w:docPartBody>
    </w:docPart>
    <w:docPart>
      <w:docPartPr>
        <w:name w:val="C0E04D04984F4FB98CAA1D0C1BBFA852"/>
        <w:style w:val=""/>
        <w:category>
          <w:name w:val="常规"/>
          <w:gallery w:val="placeholder"/>
        </w:category>
        <w:types>
          <w:type w:val="bbPlcHdr"/>
        </w:types>
        <w:behaviors>
          <w:behavior w:val="content"/>
        </w:behaviors>
        <w:description w:val=""/>
        <w:guid w:val="{7A16A0D6-2976-4840-8E6C-4D6D4EE2C554}"/>
      </w:docPartPr>
      <w:docPartBody>
        <w:p>
          <w:pPr>
            <w:pStyle w:val="6"/>
          </w:pPr>
          <w:r>
            <w:rPr>
              <w:rStyle w:val="4"/>
              <w:rFonts w:hint="eastAsia"/>
            </w:rPr>
            <w:t>选择一项。</w:t>
          </w:r>
        </w:p>
      </w:docPartBody>
    </w:docPart>
    <w:docPart>
      <w:docPartPr>
        <w:name w:val="BD63DB8A4F6F4A048BD6B202ED10CCA1"/>
        <w:style w:val=""/>
        <w:category>
          <w:name w:val="常规"/>
          <w:gallery w:val="placeholder"/>
        </w:category>
        <w:types>
          <w:type w:val="bbPlcHdr"/>
        </w:types>
        <w:behaviors>
          <w:behavior w:val="content"/>
        </w:behaviors>
        <w:description w:val=""/>
        <w:guid w:val="{D8810A65-734F-4119-8224-BCC0FDA0270C}"/>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766E08"/>
    <w:rsid w:val="000F48F6"/>
    <w:rsid w:val="00142261"/>
    <w:rsid w:val="00247828"/>
    <w:rsid w:val="004239E4"/>
    <w:rsid w:val="00454BA6"/>
    <w:rsid w:val="00512C8C"/>
    <w:rsid w:val="00543712"/>
    <w:rsid w:val="005A7D8D"/>
    <w:rsid w:val="007205BE"/>
    <w:rsid w:val="00766E08"/>
    <w:rsid w:val="00833249"/>
    <w:rsid w:val="009668F6"/>
    <w:rsid w:val="00E06714"/>
    <w:rsid w:val="00E8096C"/>
    <w:rsid w:val="00F274C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49E6FBCC8554E988329BF9C1E79343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0E04D04984F4FB98CAA1D0C1BBFA85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D63DB8A4F6F4A048BD6B202ED10CCA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CBB2C0-D2E6-4BF8-A3BC-CFFF36D22F9B}">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21</Pages>
  <Words>7271</Words>
  <Characters>8291</Characters>
  <Lines>829</Lines>
  <Paragraphs>915</Paragraphs>
  <TotalTime>24</TotalTime>
  <ScaleCrop>false</ScaleCrop>
  <LinksUpToDate>false</LinksUpToDate>
  <CharactersWithSpaces>14647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2023-06-13T07:06:00Z</dcterms:created>
  <dc:creator>gyb1</dc:creator>
  <dc:description>&lt;config cover="true" show_menu="true" version="1.0.0" doctype="SDKXY"&gt;_x000d_
&lt;/config&gt;</dc:description>
  <cp:lastModifiedBy>gyb1</cp:lastModifiedBy>
  <cp:lastPrinted>2024-10-29T06:30:00Z</cp:lastPrinted>
  <dcterms:modified xsi:type="dcterms:W3CDTF">2024-10-29T07:31:49Z</dcterms:modified>
  <dc:title>地方标准</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2052-11.8.2.8621</vt:lpwstr>
  </property>
  <property fmtid="{D5CDD505-2E9C-101B-9397-08002B2CF9AE}" pid="15" name="DoublePage">
    <vt:lpwstr>false</vt:lpwstr>
  </property>
</Properties>
</file>